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3E000" w14:textId="77777777" w:rsidR="004D47AA" w:rsidRDefault="00435D15" w:rsidP="00565123">
      <w:pPr>
        <w:pStyle w:val="Heading1"/>
      </w:pPr>
      <w:bookmarkStart w:id="0" w:name="_GoBack"/>
      <w:bookmarkEnd w:id="0"/>
      <w:r>
        <w:t>Attachment</w:t>
      </w:r>
      <w:r w:rsidR="00A07643">
        <w:t xml:space="preserve"> C</w:t>
      </w:r>
      <w:r>
        <w:t>: Performance Guarantees</w:t>
      </w:r>
    </w:p>
    <w:p w14:paraId="32D51A5F" w14:textId="22B498B5" w:rsidR="00435D15" w:rsidRDefault="00435D15" w:rsidP="00435D15">
      <w:r>
        <w:t xml:space="preserve">Insurer agrees the services provided under this Contract are critical to the success of FHKC’s provision of quality services to Enrollees and the administration of the </w:t>
      </w:r>
      <w:r w:rsidR="00A671FD">
        <w:t>P</w:t>
      </w:r>
      <w:r>
        <w:t xml:space="preserve">rogram as part of Florida’s </w:t>
      </w:r>
      <w:r w:rsidR="00A671FD">
        <w:t>CHIP</w:t>
      </w:r>
      <w:r>
        <w:t>.</w:t>
      </w:r>
      <w:r w:rsidRPr="00435D15">
        <w:t xml:space="preserve"> </w:t>
      </w:r>
    </w:p>
    <w:p w14:paraId="34617518" w14:textId="770CC252" w:rsidR="00435D15" w:rsidRDefault="00435D15" w:rsidP="00435D15">
      <w:r>
        <w:t xml:space="preserve">The failure to meet the following performance guarantees (PGs) shall be deemed a default. For each such default, Insurer shall be liable to FHKC for </w:t>
      </w:r>
      <w:r w:rsidR="00A07643">
        <w:t>financial consequences</w:t>
      </w:r>
      <w:r>
        <w:t xml:space="preserve"> in addition to </w:t>
      </w:r>
      <w:r w:rsidR="00A671FD">
        <w:t>any</w:t>
      </w:r>
      <w:r>
        <w:t xml:space="preserve"> other remedies available under the Contract. FHKC </w:t>
      </w:r>
      <w:r w:rsidR="0087334D">
        <w:t>shall</w:t>
      </w:r>
      <w:r>
        <w:t xml:space="preserve"> inform Insurer in writing, </w:t>
      </w:r>
      <w:r w:rsidR="0074672B">
        <w:t>b</w:t>
      </w:r>
      <w:r>
        <w:t xml:space="preserve">y email or mail, of any </w:t>
      </w:r>
      <w:r w:rsidR="00A07643">
        <w:t>financial consequences</w:t>
      </w:r>
      <w:r>
        <w:t xml:space="preserve"> incurred and how the amounts owed to FHKC should be remitted. </w:t>
      </w:r>
    </w:p>
    <w:p w14:paraId="19D5F79B" w14:textId="5C02E35A" w:rsidR="00435D15" w:rsidRDefault="00435D15" w:rsidP="00435D15">
      <w:r>
        <w:t xml:space="preserve">FHKC may waive </w:t>
      </w:r>
      <w:r w:rsidR="00A07643">
        <w:t>financial consequences</w:t>
      </w:r>
      <w:r>
        <w:t xml:space="preserve">, in whole or in part, for any reason in its sole discretion. The waiver of </w:t>
      </w:r>
      <w:r w:rsidR="00A07643">
        <w:t>financial consequences</w:t>
      </w:r>
      <w:r>
        <w:t xml:space="preserve"> in one instance does not provide Insurer any right or expectation to future waived </w:t>
      </w:r>
      <w:r w:rsidR="00A07643">
        <w:t>financial consequences</w:t>
      </w:r>
      <w:r>
        <w:t xml:space="preserve"> under the same, or any other, circumstances.</w:t>
      </w:r>
    </w:p>
    <w:p w14:paraId="4224DD54" w14:textId="1CEC8913" w:rsidR="009367B7" w:rsidRDefault="009B1C25" w:rsidP="009367B7">
      <w:r>
        <w:t>When reporting PG results</w:t>
      </w:r>
      <w:r w:rsidR="00BE6D67">
        <w:t>,</w:t>
      </w:r>
      <w:r>
        <w:t xml:space="preserve"> </w:t>
      </w:r>
      <w:r w:rsidR="003C4D7D">
        <w:t xml:space="preserve">Insurer </w:t>
      </w:r>
      <w:r w:rsidR="009367B7">
        <w:t>shall round</w:t>
      </w:r>
      <w:r w:rsidR="003C4D7D">
        <w:t xml:space="preserve"> the results</w:t>
      </w:r>
      <w:r w:rsidR="009367B7">
        <w:t xml:space="preserve"> at the tenth decimal place to the nearest whole number. </w:t>
      </w:r>
    </w:p>
    <w:p w14:paraId="06825911" w14:textId="1DD73633" w:rsidR="009367B7" w:rsidRDefault="009367B7" w:rsidP="009367B7">
      <w:pPr>
        <w:pStyle w:val="ListParagraph"/>
        <w:numPr>
          <w:ilvl w:val="0"/>
          <w:numId w:val="19"/>
        </w:numPr>
        <w:contextualSpacing w:val="0"/>
      </w:pPr>
      <w:r>
        <w:t xml:space="preserve">For percentages with numbers </w:t>
      </w:r>
      <w:r w:rsidR="00AB049A">
        <w:t>zero through four (</w:t>
      </w:r>
      <w:r>
        <w:t>0-4</w:t>
      </w:r>
      <w:r w:rsidR="00AB049A">
        <w:t>)</w:t>
      </w:r>
      <w:r>
        <w:t xml:space="preserve"> in the tenth decimal place, round down.</w:t>
      </w:r>
    </w:p>
    <w:p w14:paraId="5998824A" w14:textId="262F7731" w:rsidR="00D95DD2" w:rsidRDefault="009367B7" w:rsidP="009367B7">
      <w:pPr>
        <w:pStyle w:val="ListParagraph"/>
        <w:numPr>
          <w:ilvl w:val="0"/>
          <w:numId w:val="19"/>
        </w:numPr>
        <w:contextualSpacing w:val="0"/>
      </w:pPr>
      <w:r>
        <w:t xml:space="preserve">For percentages with numbers </w:t>
      </w:r>
      <w:r w:rsidR="00AB049A">
        <w:t>five through nine (</w:t>
      </w:r>
      <w:r>
        <w:t>5-9</w:t>
      </w:r>
      <w:r w:rsidR="00AB049A">
        <w:t>)</w:t>
      </w:r>
      <w:r>
        <w:t xml:space="preserve"> in the tenth decimal place, round up</w:t>
      </w:r>
      <w:r w:rsidR="00D77D86">
        <w:t>.</w:t>
      </w:r>
    </w:p>
    <w:p w14:paraId="4088BFA3" w14:textId="77777777" w:rsidR="00215027" w:rsidRPr="00215027" w:rsidRDefault="00215027" w:rsidP="00215027">
      <w:pPr>
        <w:pStyle w:val="ListParagraph"/>
        <w:numPr>
          <w:ilvl w:val="0"/>
          <w:numId w:val="1"/>
        </w:numPr>
      </w:pPr>
      <w:r>
        <w:rPr>
          <w:b/>
        </w:rPr>
        <w:t>Average Speed to Answer</w:t>
      </w:r>
    </w:p>
    <w:p w14:paraId="592CB13F" w14:textId="3E5D249F" w:rsidR="00215027" w:rsidRDefault="001D38F4" w:rsidP="00215027">
      <w:r>
        <w:t>Ninety percent (90%) of inbound calls received by Insurer</w:t>
      </w:r>
      <w:r w:rsidR="00351688">
        <w:t>’s</w:t>
      </w:r>
      <w:r>
        <w:t xml:space="preserve"> </w:t>
      </w:r>
      <w:r w:rsidR="00B64976">
        <w:t>enrollee service</w:t>
      </w:r>
      <w:r>
        <w:t>s call center shall be answered by a live ag</w:t>
      </w:r>
      <w:r w:rsidR="004E1D27">
        <w:t>ent within thirty (30) seconds.</w:t>
      </w:r>
    </w:p>
    <w:p w14:paraId="544C1D5E" w14:textId="12DF78E6" w:rsidR="00F8691F" w:rsidRDefault="00A07643" w:rsidP="00F8691F">
      <w:r>
        <w:rPr>
          <w:u w:val="single"/>
        </w:rPr>
        <w:t>Financial Consequences</w:t>
      </w:r>
      <w:r w:rsidR="00F8691F" w:rsidRPr="00517044">
        <w:rPr>
          <w:u w:val="single"/>
        </w:rPr>
        <w:t>:</w:t>
      </w:r>
      <w:r w:rsidR="00F8691F" w:rsidRPr="00517044">
        <w:rPr>
          <w:b/>
        </w:rPr>
        <w:t xml:space="preserve"> </w:t>
      </w:r>
      <w:r w:rsidR="0003257D">
        <w:t>o</w:t>
      </w:r>
      <w:r w:rsidR="00D8686E">
        <w:t xml:space="preserve">ne thousand dollars </w:t>
      </w:r>
      <w:r w:rsidR="005A07EF">
        <w:t>($1,000)</w:t>
      </w:r>
      <w:r w:rsidR="00F8691F">
        <w:t xml:space="preserve"> per percentage point below guarantee. </w:t>
      </w:r>
    </w:p>
    <w:p w14:paraId="7B47898C" w14:textId="77777777" w:rsidR="00F8691F" w:rsidRPr="00517044" w:rsidRDefault="00F8691F" w:rsidP="00F8691F">
      <w:pPr>
        <w:rPr>
          <w:u w:val="single"/>
        </w:rPr>
      </w:pPr>
      <w:r w:rsidRPr="00517044">
        <w:rPr>
          <w:u w:val="single"/>
        </w:rPr>
        <w:t>Calculation Methodology</w:t>
      </w:r>
    </w:p>
    <w:p w14:paraId="0274C2FD" w14:textId="77777777" w:rsidR="004E1D27" w:rsidRDefault="00F8691F" w:rsidP="00BC1196">
      <w:pPr>
        <w:pStyle w:val="ListParagraph"/>
        <w:numPr>
          <w:ilvl w:val="0"/>
          <w:numId w:val="2"/>
        </w:numPr>
        <w:contextualSpacing w:val="0"/>
      </w:pPr>
      <w:r>
        <w:t xml:space="preserve">The answer time measurement threshold begins when the call is presented in the call queue for an agent to answer. </w:t>
      </w:r>
    </w:p>
    <w:p w14:paraId="0FBCCF51" w14:textId="08E47709" w:rsidR="004B33B1" w:rsidRDefault="00F8691F" w:rsidP="00E620FB">
      <w:pPr>
        <w:pStyle w:val="ListParagraph"/>
        <w:numPr>
          <w:ilvl w:val="1"/>
          <w:numId w:val="2"/>
        </w:numPr>
        <w:contextualSpacing w:val="0"/>
      </w:pPr>
      <w:r>
        <w:t xml:space="preserve">The time the caller spends navigating any automated systems is not included in the measurement time. </w:t>
      </w:r>
    </w:p>
    <w:p w14:paraId="52C1BADB" w14:textId="32BCCFB5" w:rsidR="00D77D86" w:rsidRDefault="00F71261" w:rsidP="00BC1196">
      <w:pPr>
        <w:pStyle w:val="ListParagraph"/>
        <w:numPr>
          <w:ilvl w:val="0"/>
          <w:numId w:val="2"/>
        </w:numPr>
        <w:contextualSpacing w:val="0"/>
      </w:pPr>
      <w:r>
        <w:t>For purposes of determining compliance with this PG and for determining any financial consequences, Insurer shall report</w:t>
      </w:r>
      <w:r w:rsidR="007D41B3">
        <w:t xml:space="preserve"> the percentage </w:t>
      </w:r>
      <w:r>
        <w:t xml:space="preserve">of inbound calls </w:t>
      </w:r>
      <w:r w:rsidR="00705C21">
        <w:t xml:space="preserve">answered </w:t>
      </w:r>
      <w:r w:rsidR="007D41B3">
        <w:t xml:space="preserve">within </w:t>
      </w:r>
      <w:r>
        <w:t>thirty (</w:t>
      </w:r>
      <w:r w:rsidR="003B666C">
        <w:t>30</w:t>
      </w:r>
      <w:r>
        <w:t>)</w:t>
      </w:r>
      <w:r w:rsidR="003B666C">
        <w:t xml:space="preserve"> seconds. </w:t>
      </w:r>
      <w:r>
        <w:t xml:space="preserve">Performance reported </w:t>
      </w:r>
      <w:r w:rsidR="003B666C">
        <w:t xml:space="preserve">in any other manner, including the average number of seconds </w:t>
      </w:r>
      <w:r w:rsidR="0077498B">
        <w:t xml:space="preserve">for </w:t>
      </w:r>
      <w:r>
        <w:t xml:space="preserve">ninety </w:t>
      </w:r>
      <w:r w:rsidR="0077498B">
        <w:t xml:space="preserve">percent </w:t>
      </w:r>
      <w:r>
        <w:t xml:space="preserve">(90%) </w:t>
      </w:r>
      <w:r w:rsidR="0077498B">
        <w:t>of inbound calls to be answered</w:t>
      </w:r>
      <w:r w:rsidR="00B711A4">
        <w:t xml:space="preserve"> is insufficient to meet the requirements of this PG</w:t>
      </w:r>
      <w:r w:rsidR="0077498B">
        <w:t>.</w:t>
      </w:r>
    </w:p>
    <w:p w14:paraId="4EA46057" w14:textId="1484DCC5" w:rsidR="002F6533" w:rsidRDefault="00A07643" w:rsidP="00BC1196">
      <w:pPr>
        <w:pStyle w:val="ListParagraph"/>
        <w:numPr>
          <w:ilvl w:val="0"/>
          <w:numId w:val="2"/>
        </w:numPr>
        <w:contextualSpacing w:val="0"/>
      </w:pPr>
      <w:r>
        <w:lastRenderedPageBreak/>
        <w:t>Financial Consequences</w:t>
      </w:r>
      <w:r w:rsidR="00AA33CA">
        <w:t xml:space="preserve"> </w:t>
      </w:r>
      <w:r w:rsidR="004435F8">
        <w:t>shall be</w:t>
      </w:r>
      <w:r w:rsidR="00AA33CA">
        <w:t xml:space="preserve"> calculated as the difference between the guarantee and the actual result, multiplied by </w:t>
      </w:r>
      <w:r w:rsidR="00655049">
        <w:t xml:space="preserve">one thousand dollars </w:t>
      </w:r>
      <w:r w:rsidR="005A07EF">
        <w:t>($1,000)</w:t>
      </w:r>
      <w:r w:rsidR="00AA33CA">
        <w:t xml:space="preserve">. </w:t>
      </w:r>
    </w:p>
    <w:p w14:paraId="4BB4A263" w14:textId="31710897" w:rsidR="00640460" w:rsidRPr="00D61E88" w:rsidRDefault="00640460" w:rsidP="00640460">
      <w:r>
        <w:rPr>
          <w:u w:val="single"/>
        </w:rPr>
        <w:t>Related Contract Reference:</w:t>
      </w:r>
      <w:r w:rsidR="00D61E88">
        <w:t xml:space="preserve"> Section 21</w:t>
      </w:r>
    </w:p>
    <w:p w14:paraId="1310DAE6" w14:textId="77777777" w:rsidR="00CD727B" w:rsidRPr="00EF01E6" w:rsidRDefault="00EF01E6" w:rsidP="00EF01E6">
      <w:pPr>
        <w:pStyle w:val="ListParagraph"/>
        <w:numPr>
          <w:ilvl w:val="0"/>
          <w:numId w:val="1"/>
        </w:numPr>
      </w:pPr>
      <w:r>
        <w:rPr>
          <w:b/>
        </w:rPr>
        <w:t>Call Abandonment Rate</w:t>
      </w:r>
    </w:p>
    <w:p w14:paraId="08AA759C" w14:textId="60A63B97" w:rsidR="00F85F2A" w:rsidRDefault="00F85F2A" w:rsidP="00F85F2A">
      <w:r>
        <w:rPr>
          <w:rFonts w:cstheme="minorHAnsi"/>
        </w:rPr>
        <w:t>The percentage of calls received that are terminated by the caller before a live person answers shall not exceed three percent (3.0%).</w:t>
      </w:r>
    </w:p>
    <w:p w14:paraId="45762C4B" w14:textId="4C33452A" w:rsidR="00F85F2A" w:rsidRDefault="00A07643" w:rsidP="00F85F2A">
      <w:r>
        <w:rPr>
          <w:u w:val="single"/>
        </w:rPr>
        <w:t>Financial Consequences</w:t>
      </w:r>
      <w:r w:rsidR="00F85F2A" w:rsidRPr="00517044">
        <w:rPr>
          <w:u w:val="single"/>
        </w:rPr>
        <w:t>:</w:t>
      </w:r>
      <w:r w:rsidR="00F85F2A" w:rsidRPr="00517044">
        <w:rPr>
          <w:b/>
        </w:rPr>
        <w:t xml:space="preserve"> </w:t>
      </w:r>
      <w:r w:rsidR="0003257D">
        <w:t>o</w:t>
      </w:r>
      <w:r w:rsidR="00B524F3">
        <w:t xml:space="preserve">ne thousand dollars </w:t>
      </w:r>
      <w:r w:rsidR="005A07EF">
        <w:t>($1,000)</w:t>
      </w:r>
      <w:r w:rsidR="00F85F2A">
        <w:t xml:space="preserve"> per percentage point below guarantee. </w:t>
      </w:r>
    </w:p>
    <w:p w14:paraId="21EC6B43" w14:textId="77777777" w:rsidR="00F85F2A" w:rsidRPr="00517044" w:rsidRDefault="00F85F2A" w:rsidP="00F85F2A">
      <w:pPr>
        <w:rPr>
          <w:u w:val="single"/>
        </w:rPr>
      </w:pPr>
      <w:r w:rsidRPr="00517044">
        <w:rPr>
          <w:u w:val="single"/>
        </w:rPr>
        <w:t>Calculation Methodology</w:t>
      </w:r>
    </w:p>
    <w:p w14:paraId="05DBAEBA" w14:textId="77777777" w:rsidR="00F85F2A" w:rsidRDefault="00F85F2A" w:rsidP="00F85F2A">
      <w:pPr>
        <w:pStyle w:val="ListParagraph"/>
        <w:numPr>
          <w:ilvl w:val="0"/>
          <w:numId w:val="2"/>
        </w:numPr>
        <w:contextualSpacing w:val="0"/>
      </w:pPr>
      <w:r>
        <w:t xml:space="preserve">The </w:t>
      </w:r>
      <w:r w:rsidR="00364CEB">
        <w:t>abandonment</w:t>
      </w:r>
      <w:r>
        <w:t xml:space="preserve"> measurement threshold begins when the call is presented in the call queue for an agent to answer. </w:t>
      </w:r>
    </w:p>
    <w:p w14:paraId="57CAD0B0" w14:textId="77777777" w:rsidR="00F85F2A" w:rsidRDefault="00364CEB" w:rsidP="00F85F2A">
      <w:pPr>
        <w:pStyle w:val="ListParagraph"/>
        <w:numPr>
          <w:ilvl w:val="1"/>
          <w:numId w:val="2"/>
        </w:numPr>
        <w:contextualSpacing w:val="0"/>
      </w:pPr>
      <w:r>
        <w:t>Callers</w:t>
      </w:r>
      <w:r w:rsidR="00F85F2A">
        <w:t xml:space="preserve"> </w:t>
      </w:r>
      <w:r w:rsidR="00D24133">
        <w:t>who terminate while navigating any automated systems are not included in the measurement</w:t>
      </w:r>
      <w:r w:rsidR="00F85F2A">
        <w:t xml:space="preserve">. </w:t>
      </w:r>
    </w:p>
    <w:p w14:paraId="4F5C1522" w14:textId="7915A783" w:rsidR="009450E5" w:rsidRDefault="00A07643" w:rsidP="009450E5">
      <w:pPr>
        <w:pStyle w:val="ListParagraph"/>
        <w:numPr>
          <w:ilvl w:val="0"/>
          <w:numId w:val="2"/>
        </w:numPr>
        <w:contextualSpacing w:val="0"/>
      </w:pPr>
      <w:r>
        <w:t>Financial Consequences</w:t>
      </w:r>
      <w:r w:rsidR="00F85F2A">
        <w:t xml:space="preserve"> </w:t>
      </w:r>
      <w:r w:rsidR="004435F8">
        <w:t>shall be</w:t>
      </w:r>
      <w:r w:rsidR="00F85F2A">
        <w:t xml:space="preserve"> calculated as the difference between the guarantee and the actual result, multiplied by </w:t>
      </w:r>
      <w:r w:rsidR="004B05CB">
        <w:t xml:space="preserve">one thousand dollars </w:t>
      </w:r>
      <w:r w:rsidR="005A07EF">
        <w:t>($1,000)</w:t>
      </w:r>
      <w:r w:rsidR="00F85F2A">
        <w:t>.</w:t>
      </w:r>
    </w:p>
    <w:p w14:paraId="3A7E1A2C" w14:textId="2AFD7425" w:rsidR="00D61E88" w:rsidRDefault="00D61E88" w:rsidP="00D61E88">
      <w:r w:rsidRPr="00D61E88">
        <w:rPr>
          <w:u w:val="single"/>
        </w:rPr>
        <w:t>Related Contract Reference:</w:t>
      </w:r>
      <w:r>
        <w:t xml:space="preserve"> Section 21</w:t>
      </w:r>
    </w:p>
    <w:p w14:paraId="1AA38D93" w14:textId="77777777" w:rsidR="009450E5" w:rsidRDefault="00E051E3" w:rsidP="009450E5">
      <w:pPr>
        <w:pStyle w:val="ListParagraph"/>
        <w:numPr>
          <w:ilvl w:val="0"/>
          <w:numId w:val="1"/>
        </w:numPr>
      </w:pPr>
      <w:r>
        <w:rPr>
          <w:b/>
        </w:rPr>
        <w:t>Blocked Calls</w:t>
      </w:r>
    </w:p>
    <w:p w14:paraId="0F7AFA2D" w14:textId="01F31110" w:rsidR="00E051E3" w:rsidRDefault="00E051E3" w:rsidP="00E051E3">
      <w:r>
        <w:t>The percentage of inbound calls blocked from entering the call center system</w:t>
      </w:r>
      <w:r w:rsidR="00D7186D">
        <w:t xml:space="preserve"> </w:t>
      </w:r>
      <w:r w:rsidR="00E620FB">
        <w:t>and</w:t>
      </w:r>
      <w:r w:rsidR="00D7186D">
        <w:t xml:space="preserve"> </w:t>
      </w:r>
      <w:r w:rsidR="002C4FC4">
        <w:t xml:space="preserve">those that </w:t>
      </w:r>
      <w:r w:rsidR="00D7186D">
        <w:t>are forced disconnects</w:t>
      </w:r>
      <w:r w:rsidR="00ED6566">
        <w:t xml:space="preserve"> shall</w:t>
      </w:r>
      <w:r w:rsidR="002C4FC4">
        <w:t xml:space="preserve"> be</w:t>
      </w:r>
      <w:r w:rsidR="00ED6566">
        <w:t xml:space="preserve"> </w:t>
      </w:r>
      <w:r w:rsidR="000802DF">
        <w:t>zero percent</w:t>
      </w:r>
      <w:r w:rsidR="00E10C8B">
        <w:t xml:space="preserve"> (0.0%).</w:t>
      </w:r>
    </w:p>
    <w:p w14:paraId="4C64E459" w14:textId="42E7C04E" w:rsidR="00E051E3" w:rsidRDefault="00E051E3" w:rsidP="00E051E3">
      <w:r>
        <w:rPr>
          <w:rFonts w:cstheme="minorHAnsi"/>
          <w:u w:val="single"/>
        </w:rPr>
        <w:t>Financial Consequences:</w:t>
      </w:r>
      <w:r w:rsidRPr="005F7249">
        <w:t xml:space="preserve"> </w:t>
      </w:r>
      <w:r w:rsidR="0003257D">
        <w:t>f</w:t>
      </w:r>
      <w:r w:rsidR="00F436CB">
        <w:t xml:space="preserve">ive hundred dollars </w:t>
      </w:r>
      <w:r w:rsidR="005A07EF">
        <w:t>($500)</w:t>
      </w:r>
      <w:r>
        <w:t xml:space="preserve"> per percentage point abo</w:t>
      </w:r>
      <w:r w:rsidR="004139F0">
        <w:t>v</w:t>
      </w:r>
      <w:r>
        <w:t>e the guarantee</w:t>
      </w:r>
      <w:r w:rsidR="00E10C8B">
        <w:t>.</w:t>
      </w:r>
    </w:p>
    <w:p w14:paraId="5599181A" w14:textId="77777777" w:rsidR="00E051E3" w:rsidRDefault="00E051E3" w:rsidP="00E051E3">
      <w:pPr>
        <w:rPr>
          <w:u w:val="single"/>
        </w:rPr>
      </w:pPr>
      <w:r>
        <w:rPr>
          <w:u w:val="single"/>
        </w:rPr>
        <w:t>Calculation Methodology</w:t>
      </w:r>
    </w:p>
    <w:p w14:paraId="60BAF061" w14:textId="4DEF345E" w:rsidR="00A533B2" w:rsidRDefault="00A14EC4" w:rsidP="00E051E3">
      <w:pPr>
        <w:pStyle w:val="ListParagraph"/>
        <w:numPr>
          <w:ilvl w:val="0"/>
          <w:numId w:val="18"/>
        </w:numPr>
        <w:contextualSpacing w:val="0"/>
      </w:pPr>
      <w:r>
        <w:t xml:space="preserve">The percentage of blocked calls shall be calculated by the number of </w:t>
      </w:r>
      <w:r w:rsidR="00890688">
        <w:t xml:space="preserve">calls blocked by </w:t>
      </w:r>
      <w:r w:rsidR="00B74598">
        <w:t xml:space="preserve">Insurer’s </w:t>
      </w:r>
      <w:r w:rsidR="00255A3E">
        <w:t xml:space="preserve">telecom provider and </w:t>
      </w:r>
      <w:r w:rsidR="008967AD">
        <w:t>the number of calls that are forced disconnects</w:t>
      </w:r>
      <w:r w:rsidR="00D12668">
        <w:t xml:space="preserve"> divided by the total number of calls. </w:t>
      </w:r>
    </w:p>
    <w:p w14:paraId="6D3E7B41" w14:textId="6B253D8B" w:rsidR="00E051E3" w:rsidRDefault="00E051E3" w:rsidP="00E051E3">
      <w:pPr>
        <w:pStyle w:val="ListParagraph"/>
        <w:numPr>
          <w:ilvl w:val="0"/>
          <w:numId w:val="18"/>
        </w:numPr>
        <w:contextualSpacing w:val="0"/>
      </w:pPr>
      <w:r>
        <w:t xml:space="preserve">Financial Consequences </w:t>
      </w:r>
      <w:r w:rsidR="004435F8">
        <w:t>shall be</w:t>
      </w:r>
      <w:r>
        <w:t xml:space="preserve"> calculated as the difference between the guarantee</w:t>
      </w:r>
      <w:r w:rsidR="00CC4048">
        <w:t>d percentage</w:t>
      </w:r>
      <w:r>
        <w:t xml:space="preserve"> and the actual result, multiplied by </w:t>
      </w:r>
      <w:r w:rsidR="00E10C8B">
        <w:t xml:space="preserve">five hundred dollars </w:t>
      </w:r>
      <w:r w:rsidR="005A07EF">
        <w:t>($500)</w:t>
      </w:r>
      <w:r>
        <w:t>.</w:t>
      </w:r>
    </w:p>
    <w:p w14:paraId="46A254DA" w14:textId="2FBDAEDC" w:rsidR="00D61E88" w:rsidRDefault="00D61E88" w:rsidP="00D61E88">
      <w:r w:rsidRPr="00D61E88">
        <w:rPr>
          <w:u w:val="single"/>
        </w:rPr>
        <w:t>Related Contract Reference:</w:t>
      </w:r>
      <w:r w:rsidRPr="00D61E88">
        <w:t xml:space="preserve"> Section 21</w:t>
      </w:r>
    </w:p>
    <w:p w14:paraId="110B5657" w14:textId="77777777" w:rsidR="0013729D" w:rsidRDefault="0013729D" w:rsidP="00E07DF5">
      <w:pPr>
        <w:pStyle w:val="ListParagraph"/>
        <w:numPr>
          <w:ilvl w:val="0"/>
          <w:numId w:val="1"/>
        </w:numPr>
      </w:pPr>
      <w:r>
        <w:rPr>
          <w:b/>
        </w:rPr>
        <w:t>First Call Resolution</w:t>
      </w:r>
    </w:p>
    <w:p w14:paraId="7AFC0678" w14:textId="1B42A7AE" w:rsidR="00590CC6" w:rsidRDefault="00A2370B" w:rsidP="0013729D">
      <w:r>
        <w:t xml:space="preserve">Insurer’s </w:t>
      </w:r>
      <w:r w:rsidR="00B64976">
        <w:t>enrollee service</w:t>
      </w:r>
      <w:r>
        <w:t xml:space="preserve"> representatives shall ensure that at least </w:t>
      </w:r>
      <w:r w:rsidR="004840B2">
        <w:t>ninety</w:t>
      </w:r>
      <w:r>
        <w:t xml:space="preserve"> percent</w:t>
      </w:r>
      <w:r w:rsidR="007B07AD">
        <w:t xml:space="preserve"> (</w:t>
      </w:r>
      <w:r w:rsidR="004840B2">
        <w:t>90</w:t>
      </w:r>
      <w:r w:rsidR="007B07AD">
        <w:t>%)</w:t>
      </w:r>
      <w:r>
        <w:t xml:space="preserve"> of calls are resolve</w:t>
      </w:r>
      <w:r w:rsidR="00590CC6">
        <w:t>d within the first call.</w:t>
      </w:r>
    </w:p>
    <w:p w14:paraId="258510E5" w14:textId="1A19A307" w:rsidR="00590CC6" w:rsidRDefault="00590CC6" w:rsidP="00590CC6">
      <w:r>
        <w:rPr>
          <w:rFonts w:cstheme="minorHAnsi"/>
          <w:u w:val="single"/>
        </w:rPr>
        <w:t>Financial Consequences:</w:t>
      </w:r>
      <w:r w:rsidRPr="005F7249">
        <w:t xml:space="preserve"> </w:t>
      </w:r>
      <w:r w:rsidR="0003257D">
        <w:t>f</w:t>
      </w:r>
      <w:r w:rsidR="00DA422C">
        <w:t xml:space="preserve">ive hundred dollars </w:t>
      </w:r>
      <w:r w:rsidR="005A07EF">
        <w:t>($500)</w:t>
      </w:r>
      <w:r>
        <w:t xml:space="preserve"> per percentage point below the guarantee</w:t>
      </w:r>
    </w:p>
    <w:p w14:paraId="7CE5E992" w14:textId="77777777" w:rsidR="00590CC6" w:rsidRDefault="00590CC6" w:rsidP="00590CC6">
      <w:pPr>
        <w:rPr>
          <w:u w:val="single"/>
        </w:rPr>
      </w:pPr>
      <w:r>
        <w:rPr>
          <w:u w:val="single"/>
        </w:rPr>
        <w:lastRenderedPageBreak/>
        <w:t>Calculation Methodology</w:t>
      </w:r>
    </w:p>
    <w:p w14:paraId="1B3E71B7" w14:textId="3BD80306" w:rsidR="00000DBC" w:rsidRDefault="00000DBC" w:rsidP="00000DBC">
      <w:pPr>
        <w:pStyle w:val="ListParagraph"/>
        <w:numPr>
          <w:ilvl w:val="0"/>
          <w:numId w:val="16"/>
        </w:numPr>
        <w:contextualSpacing w:val="0"/>
      </w:pPr>
      <w:r>
        <w:t xml:space="preserve">Insurer shall audit a </w:t>
      </w:r>
      <w:r w:rsidR="00C3238B">
        <w:t xml:space="preserve">statistically valid </w:t>
      </w:r>
      <w:r>
        <w:t>random sample of all Florida Healthy Kids calls each quarter.</w:t>
      </w:r>
      <w:r w:rsidR="00DE208A">
        <w:t xml:space="preserve"> </w:t>
      </w:r>
    </w:p>
    <w:p w14:paraId="459D2DB5" w14:textId="77777777" w:rsidR="00000DBC" w:rsidRDefault="00000DBC" w:rsidP="00000DBC">
      <w:pPr>
        <w:pStyle w:val="ListParagraph"/>
        <w:numPr>
          <w:ilvl w:val="1"/>
          <w:numId w:val="16"/>
        </w:numPr>
        <w:contextualSpacing w:val="0"/>
      </w:pPr>
      <w:r>
        <w:t xml:space="preserve">Insurer shall determine if </w:t>
      </w:r>
      <w:r w:rsidR="00985882">
        <w:t xml:space="preserve">the call is the first call the caller has made about the issue and if </w:t>
      </w:r>
      <w:r>
        <w:t xml:space="preserve">the </w:t>
      </w:r>
      <w:r w:rsidR="00B64976">
        <w:t>enrollee service</w:t>
      </w:r>
      <w:r>
        <w:t xml:space="preserve">s representative answering the call </w:t>
      </w:r>
      <w:r w:rsidR="00985882">
        <w:t>resolved the call during that initial call</w:t>
      </w:r>
      <w:r>
        <w:t xml:space="preserve">. </w:t>
      </w:r>
    </w:p>
    <w:p w14:paraId="0624FF69" w14:textId="63444384" w:rsidR="00000DBC" w:rsidRDefault="00985882" w:rsidP="00ED04F0">
      <w:pPr>
        <w:pStyle w:val="ListParagraph"/>
        <w:numPr>
          <w:ilvl w:val="1"/>
          <w:numId w:val="16"/>
        </w:numPr>
        <w:contextualSpacing w:val="0"/>
      </w:pPr>
      <w:r>
        <w:t xml:space="preserve">Resolution </w:t>
      </w:r>
      <w:r w:rsidR="00000DBC">
        <w:t xml:space="preserve">includes </w:t>
      </w:r>
      <w:r>
        <w:t xml:space="preserve">providing </w:t>
      </w:r>
      <w:r w:rsidR="00000DBC">
        <w:t xml:space="preserve">complete </w:t>
      </w:r>
      <w:r>
        <w:t xml:space="preserve">and clear </w:t>
      </w:r>
      <w:r w:rsidR="00000DBC">
        <w:t>information to the exte</w:t>
      </w:r>
      <w:r>
        <w:t>nt a call or other communication back to or from the caller is not needed. Insurer shall also review the caller’s record to ensure no follow up calls were placed to Insurer about the same issue.</w:t>
      </w:r>
      <w:r w:rsidR="00000DBC">
        <w:t xml:space="preserve"> </w:t>
      </w:r>
    </w:p>
    <w:p w14:paraId="3E3BFB66" w14:textId="55788A42" w:rsidR="00D61E88" w:rsidRDefault="00000DBC" w:rsidP="00D61E88">
      <w:pPr>
        <w:pStyle w:val="ListParagraph"/>
        <w:numPr>
          <w:ilvl w:val="0"/>
          <w:numId w:val="16"/>
        </w:numPr>
        <w:contextualSpacing w:val="0"/>
      </w:pPr>
      <w:r>
        <w:t xml:space="preserve">Financial Consequences </w:t>
      </w:r>
      <w:r w:rsidR="004435F8">
        <w:t>shall be</w:t>
      </w:r>
      <w:r>
        <w:t xml:space="preserve"> calculated as the difference between the guarantee and the actual result, multiplied by </w:t>
      </w:r>
      <w:r w:rsidR="00E10376">
        <w:t xml:space="preserve">five hundred dollars </w:t>
      </w:r>
      <w:r w:rsidR="005A07EF">
        <w:t>($500)</w:t>
      </w:r>
      <w:r>
        <w:t>.</w:t>
      </w:r>
    </w:p>
    <w:p w14:paraId="4F89F97C" w14:textId="6EB2AEDC" w:rsidR="00D61E88" w:rsidRPr="004F3856" w:rsidRDefault="00D61E88" w:rsidP="00D61E88">
      <w:r w:rsidRPr="009E6200">
        <w:rPr>
          <w:u w:val="single"/>
        </w:rPr>
        <w:t>Related Contract Reference:</w:t>
      </w:r>
      <w:r w:rsidRPr="00D61E88">
        <w:t xml:space="preserve"> Section 21</w:t>
      </w:r>
    </w:p>
    <w:p w14:paraId="12CBFDB8" w14:textId="5E28F4E1" w:rsidR="004F3856" w:rsidRDefault="00947688" w:rsidP="00E07DF5">
      <w:pPr>
        <w:pStyle w:val="ListParagraph"/>
        <w:numPr>
          <w:ilvl w:val="0"/>
          <w:numId w:val="1"/>
        </w:numPr>
      </w:pPr>
      <w:r>
        <w:rPr>
          <w:b/>
        </w:rPr>
        <w:t xml:space="preserve">Call </w:t>
      </w:r>
      <w:r w:rsidR="00F83B78">
        <w:rPr>
          <w:b/>
        </w:rPr>
        <w:t>Quality Assurance Monitoring</w:t>
      </w:r>
    </w:p>
    <w:p w14:paraId="36D139BC" w14:textId="2C92EF26" w:rsidR="00947688" w:rsidRDefault="00C959A6" w:rsidP="00947688">
      <w:r>
        <w:t>Insurer</w:t>
      </w:r>
      <w:r w:rsidR="00EE3D0D">
        <w:t xml:space="preserve"> shall ensure that the average call quality monitoring score re</w:t>
      </w:r>
      <w:r w:rsidR="00FF73ED">
        <w:t xml:space="preserve">sulting from call monitoring of all </w:t>
      </w:r>
      <w:r w:rsidR="00FD4390">
        <w:t>call center</w:t>
      </w:r>
      <w:r>
        <w:t xml:space="preserve"> </w:t>
      </w:r>
      <w:r w:rsidR="00B64976">
        <w:t>enrollee service</w:t>
      </w:r>
      <w:r>
        <w:t xml:space="preserve"> representatives </w:t>
      </w:r>
      <w:r w:rsidR="00FD4390">
        <w:t xml:space="preserve">working on the Florida Healthy Kids account is </w:t>
      </w:r>
      <w:r w:rsidR="00F37383">
        <w:t>at least ninety-five percent</w:t>
      </w:r>
      <w:r w:rsidR="00F061C1">
        <w:t xml:space="preserve"> (95%)</w:t>
      </w:r>
      <w:r w:rsidR="00F37383">
        <w:t>.</w:t>
      </w:r>
    </w:p>
    <w:p w14:paraId="186BBD10" w14:textId="07FBF746" w:rsidR="00057C0D" w:rsidRDefault="00A07643" w:rsidP="00057C0D">
      <w:r>
        <w:rPr>
          <w:rFonts w:cstheme="minorHAnsi"/>
          <w:u w:val="single"/>
        </w:rPr>
        <w:t>Financial Consequences</w:t>
      </w:r>
      <w:r w:rsidR="00057C0D">
        <w:rPr>
          <w:rFonts w:cstheme="minorHAnsi"/>
          <w:u w:val="single"/>
        </w:rPr>
        <w:t>:</w:t>
      </w:r>
      <w:r w:rsidR="00057C0D" w:rsidRPr="005F7249">
        <w:t xml:space="preserve"> </w:t>
      </w:r>
      <w:r w:rsidR="0003257D">
        <w:t>f</w:t>
      </w:r>
      <w:r w:rsidR="003C5052">
        <w:t xml:space="preserve">ive hundred dollars </w:t>
      </w:r>
      <w:r w:rsidR="005A07EF">
        <w:t>($500)</w:t>
      </w:r>
      <w:r w:rsidR="00057C0D">
        <w:t xml:space="preserve"> per percentage point below the guarantee</w:t>
      </w:r>
    </w:p>
    <w:p w14:paraId="7840C462" w14:textId="77777777" w:rsidR="00057C0D" w:rsidRDefault="00057C0D" w:rsidP="00057C0D">
      <w:pPr>
        <w:rPr>
          <w:u w:val="single"/>
        </w:rPr>
      </w:pPr>
      <w:r>
        <w:rPr>
          <w:u w:val="single"/>
        </w:rPr>
        <w:t>Calculation Methodology</w:t>
      </w:r>
    </w:p>
    <w:p w14:paraId="4FC31539" w14:textId="28E838A8" w:rsidR="008D6655" w:rsidRDefault="007E5BA4" w:rsidP="00D843F4">
      <w:pPr>
        <w:pStyle w:val="ListParagraph"/>
        <w:numPr>
          <w:ilvl w:val="0"/>
          <w:numId w:val="16"/>
        </w:numPr>
        <w:contextualSpacing w:val="0"/>
      </w:pPr>
      <w:r>
        <w:t xml:space="preserve">Insurer shall </w:t>
      </w:r>
      <w:r w:rsidR="00EB62A0">
        <w:t xml:space="preserve">conduct quality assurance monitoring </w:t>
      </w:r>
      <w:r>
        <w:t xml:space="preserve">of </w:t>
      </w:r>
      <w:r w:rsidR="00037FDF">
        <w:t>all call center enrollee service representatives working on the Florida Healthy Kids account</w:t>
      </w:r>
      <w:r w:rsidR="007C2F1F">
        <w:t xml:space="preserve"> each quarter</w:t>
      </w:r>
      <w:r w:rsidR="00621B50">
        <w:t xml:space="preserve"> u</w:t>
      </w:r>
      <w:r w:rsidR="000B2A42">
        <w:t>sing a</w:t>
      </w:r>
      <w:r w:rsidR="00EC6016">
        <w:t xml:space="preserve">n </w:t>
      </w:r>
      <w:r w:rsidR="00975D6F">
        <w:t>established review methodology for which the highest score possibl</w:t>
      </w:r>
      <w:r w:rsidR="00621B50">
        <w:t>e is one hundred percent</w:t>
      </w:r>
      <w:r w:rsidR="003C5052">
        <w:t xml:space="preserve"> (100%)</w:t>
      </w:r>
      <w:r w:rsidR="00621B50">
        <w:t>.</w:t>
      </w:r>
      <w:r w:rsidR="00DA4E8A">
        <w:t xml:space="preserve"> Insurer shall div</w:t>
      </w:r>
      <w:r w:rsidR="002C2161">
        <w:t>ide</w:t>
      </w:r>
      <w:r w:rsidR="00DA4E8A">
        <w:t xml:space="preserve"> the sum of all quality assurance monitoring review</w:t>
      </w:r>
      <w:r w:rsidR="002C2161">
        <w:t xml:space="preserve"> scores by the total number of quality assurance monitoring reviews conducted during the quarter.</w:t>
      </w:r>
    </w:p>
    <w:p w14:paraId="55203FE1" w14:textId="3964E9B5" w:rsidR="004C62E5" w:rsidRDefault="004C62E5" w:rsidP="007C101B">
      <w:pPr>
        <w:pStyle w:val="ListParagraph"/>
        <w:numPr>
          <w:ilvl w:val="0"/>
          <w:numId w:val="16"/>
        </w:numPr>
        <w:contextualSpacing w:val="0"/>
      </w:pPr>
      <w:r>
        <w:t>For purposes of determining compliance with this PG and for determining any financial consequences, Insurer shall report performance based on the average score. Performance reported in any other manner, including the number of quality assurance monitoring reviews to meet ninety-five percent (95%) is insufficient to meet the requirements of this PG.</w:t>
      </w:r>
    </w:p>
    <w:p w14:paraId="6BA051BD" w14:textId="1211EF91" w:rsidR="004C62E5" w:rsidRDefault="00A07643" w:rsidP="007C101B">
      <w:pPr>
        <w:pStyle w:val="ListParagraph"/>
        <w:numPr>
          <w:ilvl w:val="0"/>
          <w:numId w:val="16"/>
        </w:numPr>
        <w:contextualSpacing w:val="0"/>
      </w:pPr>
      <w:r>
        <w:t>Financial Consequences</w:t>
      </w:r>
      <w:r w:rsidR="007C101B">
        <w:t xml:space="preserve"> </w:t>
      </w:r>
      <w:r w:rsidR="004435F8">
        <w:t>shall be</w:t>
      </w:r>
      <w:r w:rsidR="007C101B">
        <w:t xml:space="preserve"> calculated as the difference between the guarantee and the actual result, multiplied by </w:t>
      </w:r>
      <w:r w:rsidR="005A07EF">
        <w:t>five hundred dollars ($500)</w:t>
      </w:r>
      <w:r w:rsidR="007C101B">
        <w:t>.</w:t>
      </w:r>
      <w:r w:rsidR="001B61D1">
        <w:t xml:space="preserve"> </w:t>
      </w:r>
    </w:p>
    <w:p w14:paraId="4A30C2F0" w14:textId="5FA09E9D" w:rsidR="009E6200" w:rsidRPr="004F3856" w:rsidRDefault="009E6200" w:rsidP="009E6200">
      <w:r w:rsidRPr="009E6200">
        <w:rPr>
          <w:u w:val="single"/>
        </w:rPr>
        <w:t>Related Contract Reference:</w:t>
      </w:r>
      <w:r w:rsidRPr="009E6200">
        <w:t xml:space="preserve"> Section 21</w:t>
      </w:r>
    </w:p>
    <w:p w14:paraId="65F699C8" w14:textId="77777777" w:rsidR="00E07DF5" w:rsidRPr="00E07DF5" w:rsidRDefault="00E07DF5" w:rsidP="00E07DF5">
      <w:pPr>
        <w:pStyle w:val="ListParagraph"/>
        <w:numPr>
          <w:ilvl w:val="0"/>
          <w:numId w:val="1"/>
        </w:numPr>
      </w:pPr>
      <w:r>
        <w:rPr>
          <w:b/>
        </w:rPr>
        <w:lastRenderedPageBreak/>
        <w:t>Enrollment Files</w:t>
      </w:r>
    </w:p>
    <w:p w14:paraId="4076749C" w14:textId="77777777" w:rsidR="00E07DF5" w:rsidRDefault="000A5A2B" w:rsidP="00E07DF5">
      <w:pPr>
        <w:rPr>
          <w:rFonts w:cstheme="minorHAnsi"/>
        </w:rPr>
      </w:pPr>
      <w:r>
        <w:rPr>
          <w:rFonts w:cstheme="minorHAnsi"/>
        </w:rPr>
        <w:t>Insurer shall</w:t>
      </w:r>
      <w:r w:rsidR="00EF188F">
        <w:rPr>
          <w:rFonts w:cstheme="minorHAnsi"/>
        </w:rPr>
        <w:t xml:space="preserve"> accurately process o</w:t>
      </w:r>
      <w:r w:rsidR="00F65056">
        <w:rPr>
          <w:rFonts w:cstheme="minorHAnsi"/>
        </w:rPr>
        <w:t>ne hundred (100%) of enrollment files, including supp</w:t>
      </w:r>
      <w:r w:rsidR="00EF188F">
        <w:rPr>
          <w:rFonts w:cstheme="minorHAnsi"/>
        </w:rPr>
        <w:t>lemental enrollment files</w:t>
      </w:r>
      <w:r w:rsidR="00F65056">
        <w:rPr>
          <w:rFonts w:cstheme="minorHAnsi"/>
        </w:rPr>
        <w:t xml:space="preserve"> within two (2) Business Days of receipt.</w:t>
      </w:r>
    </w:p>
    <w:p w14:paraId="7217F574" w14:textId="2B144CBE" w:rsidR="00F65056" w:rsidRDefault="00A07643" w:rsidP="00F65056">
      <w:r>
        <w:rPr>
          <w:rFonts w:cstheme="minorHAnsi"/>
          <w:u w:val="single"/>
        </w:rPr>
        <w:t>Financial Consequences</w:t>
      </w:r>
      <w:r w:rsidR="00F65056">
        <w:rPr>
          <w:rFonts w:cstheme="minorHAnsi"/>
          <w:u w:val="single"/>
        </w:rPr>
        <w:t>:</w:t>
      </w:r>
      <w:r w:rsidR="00F65056" w:rsidRPr="005F7249">
        <w:t xml:space="preserve"> </w:t>
      </w:r>
      <w:r w:rsidR="00EC7112">
        <w:t>two thousand dollars ($2,000)</w:t>
      </w:r>
      <w:r w:rsidR="008B567F">
        <w:t xml:space="preserve"> </w:t>
      </w:r>
      <w:r w:rsidR="00F65056">
        <w:t>per Calendar Day</w:t>
      </w:r>
    </w:p>
    <w:p w14:paraId="1C304C91" w14:textId="77777777" w:rsidR="00F65056" w:rsidRDefault="00F65056" w:rsidP="00F65056">
      <w:pPr>
        <w:rPr>
          <w:u w:val="single"/>
        </w:rPr>
      </w:pPr>
      <w:r>
        <w:rPr>
          <w:u w:val="single"/>
        </w:rPr>
        <w:t>Calculation Methodology</w:t>
      </w:r>
    </w:p>
    <w:p w14:paraId="6CE1A20A" w14:textId="59E597D5" w:rsidR="008B567F" w:rsidRPr="00C00C62" w:rsidRDefault="008B567F" w:rsidP="00E07DF5">
      <w:pPr>
        <w:pStyle w:val="ListParagraph"/>
        <w:numPr>
          <w:ilvl w:val="0"/>
          <w:numId w:val="7"/>
        </w:numPr>
        <w:contextualSpacing w:val="0"/>
        <w:rPr>
          <w:rFonts w:cstheme="minorHAnsi"/>
          <w:u w:val="single"/>
        </w:rPr>
      </w:pPr>
      <w:r>
        <w:t>For purposes of determining compliance with this PG and for determining any financial consequences, Insurer shall report the percentage of enrollment files accurately processed within two (2) Business Days. Performance reported in any other manner, including the number of days to process one hundred percent (100%) of enrollment files</w:t>
      </w:r>
      <w:r w:rsidR="004C62E5">
        <w:t xml:space="preserve"> is insufficient to meet the requirements of this PG</w:t>
      </w:r>
      <w:r>
        <w:t>.</w:t>
      </w:r>
    </w:p>
    <w:p w14:paraId="57FEA503" w14:textId="77777777" w:rsidR="00C00C62" w:rsidRPr="008B567F" w:rsidRDefault="00C00C62" w:rsidP="00E07DF5">
      <w:pPr>
        <w:pStyle w:val="ListParagraph"/>
        <w:numPr>
          <w:ilvl w:val="0"/>
          <w:numId w:val="7"/>
        </w:numPr>
        <w:contextualSpacing w:val="0"/>
        <w:rPr>
          <w:rFonts w:cstheme="minorHAnsi"/>
          <w:u w:val="single"/>
        </w:rPr>
      </w:pPr>
    </w:p>
    <w:p w14:paraId="03F62009" w14:textId="601A52A6" w:rsidR="00F65056" w:rsidRPr="00FD1601" w:rsidRDefault="00A07643" w:rsidP="00E07DF5">
      <w:pPr>
        <w:pStyle w:val="ListParagraph"/>
        <w:numPr>
          <w:ilvl w:val="0"/>
          <w:numId w:val="7"/>
        </w:numPr>
        <w:contextualSpacing w:val="0"/>
        <w:rPr>
          <w:rFonts w:cstheme="minorHAnsi"/>
          <w:u w:val="single"/>
        </w:rPr>
      </w:pPr>
      <w:r>
        <w:t>Financial Consequences</w:t>
      </w:r>
      <w:r w:rsidR="00F65056">
        <w:t xml:space="preserve"> apply to each Calendar Day beyond the due date until accurately processed, inclusive of the date processed.</w:t>
      </w:r>
    </w:p>
    <w:p w14:paraId="4252EF7C" w14:textId="0584EAC6" w:rsidR="009E6200" w:rsidRPr="009E6200" w:rsidRDefault="009E6200" w:rsidP="009E6200">
      <w:r w:rsidRPr="009E6200">
        <w:rPr>
          <w:rFonts w:cstheme="minorHAnsi"/>
          <w:u w:val="single"/>
        </w:rPr>
        <w:t>Relate</w:t>
      </w:r>
      <w:r>
        <w:rPr>
          <w:rFonts w:cstheme="minorHAnsi"/>
          <w:u w:val="single"/>
        </w:rPr>
        <w:t>d Contract Reference:</w:t>
      </w:r>
      <w:r>
        <w:t xml:space="preserve"> </w:t>
      </w:r>
      <w:r w:rsidR="00815665">
        <w:t>Section 18</w:t>
      </w:r>
    </w:p>
    <w:p w14:paraId="1437A614" w14:textId="77777777" w:rsidR="00733D5D" w:rsidRPr="00733D5D" w:rsidRDefault="00733D5D" w:rsidP="00733D5D">
      <w:pPr>
        <w:pStyle w:val="ListParagraph"/>
        <w:numPr>
          <w:ilvl w:val="0"/>
          <w:numId w:val="1"/>
        </w:numPr>
        <w:rPr>
          <w:rFonts w:cstheme="minorHAnsi"/>
          <w:u w:val="single"/>
        </w:rPr>
      </w:pPr>
      <w:r>
        <w:rPr>
          <w:rFonts w:cstheme="minorHAnsi"/>
          <w:b/>
        </w:rPr>
        <w:t>Ad hoc Enrollment Data</w:t>
      </w:r>
    </w:p>
    <w:p w14:paraId="35EB1892" w14:textId="77777777" w:rsidR="00733D5D" w:rsidRDefault="000A5A2B" w:rsidP="00733D5D">
      <w:pPr>
        <w:rPr>
          <w:rFonts w:cstheme="minorHAnsi"/>
        </w:rPr>
      </w:pPr>
      <w:r>
        <w:rPr>
          <w:rFonts w:cstheme="minorHAnsi"/>
        </w:rPr>
        <w:t>Insurer shall</w:t>
      </w:r>
      <w:r w:rsidR="00EF188F">
        <w:rPr>
          <w:rFonts w:cstheme="minorHAnsi"/>
        </w:rPr>
        <w:t xml:space="preserve"> accurately process one hundred percent (100%) of ad hoc enrollment requests, including changes in demographic information, within one (1) Business Day.</w:t>
      </w:r>
    </w:p>
    <w:p w14:paraId="6A1DF148" w14:textId="7606ABBD" w:rsidR="0065623A" w:rsidRDefault="00A07643" w:rsidP="0065623A">
      <w:r>
        <w:rPr>
          <w:rFonts w:cstheme="minorHAnsi"/>
          <w:u w:val="single"/>
        </w:rPr>
        <w:t>Financial Consequences</w:t>
      </w:r>
      <w:r w:rsidR="0065623A">
        <w:rPr>
          <w:rFonts w:cstheme="minorHAnsi"/>
          <w:u w:val="single"/>
        </w:rPr>
        <w:t>:</w:t>
      </w:r>
      <w:r w:rsidR="0065623A" w:rsidRPr="005F7249">
        <w:t xml:space="preserve"> </w:t>
      </w:r>
      <w:r w:rsidR="00EC7112">
        <w:t>two thousand dollars ($2,000)</w:t>
      </w:r>
      <w:r w:rsidR="00D94FB9">
        <w:t xml:space="preserve"> </w:t>
      </w:r>
      <w:r w:rsidR="0065623A">
        <w:t>per incident per Calendar Day</w:t>
      </w:r>
    </w:p>
    <w:p w14:paraId="19BE4FCB" w14:textId="77777777" w:rsidR="0065623A" w:rsidRDefault="0065623A" w:rsidP="0065623A">
      <w:pPr>
        <w:rPr>
          <w:u w:val="single"/>
        </w:rPr>
      </w:pPr>
      <w:r>
        <w:rPr>
          <w:u w:val="single"/>
        </w:rPr>
        <w:t>Calculation Methodology</w:t>
      </w:r>
    </w:p>
    <w:p w14:paraId="629E8337" w14:textId="11174EA9" w:rsidR="00B711A4" w:rsidRPr="00B711A4" w:rsidRDefault="00B711A4" w:rsidP="00815665">
      <w:pPr>
        <w:pStyle w:val="ListParagraph"/>
        <w:numPr>
          <w:ilvl w:val="0"/>
          <w:numId w:val="7"/>
        </w:numPr>
        <w:contextualSpacing w:val="0"/>
        <w:rPr>
          <w:rFonts w:cstheme="minorHAnsi"/>
          <w:u w:val="single"/>
        </w:rPr>
      </w:pPr>
      <w:r>
        <w:t xml:space="preserve">For purposes of determining compliance with this PG and for determining any financial consequences, Insurer shall report the percentage of ad hoc enrollment requests accurately processed within one (1) Business Day. Performance reported in any other manner, including the number of days to process one hundred percent (100%) of ad hoc enrollment requests, is insufficient to </w:t>
      </w:r>
      <w:r w:rsidR="00DF391D">
        <w:t>meet the requirements of this PG</w:t>
      </w:r>
      <w:r>
        <w:t>.</w:t>
      </w:r>
    </w:p>
    <w:p w14:paraId="2DA38996" w14:textId="106A8C8C" w:rsidR="00815665" w:rsidRPr="00544350" w:rsidRDefault="00A07643" w:rsidP="00815665">
      <w:pPr>
        <w:pStyle w:val="ListParagraph"/>
        <w:numPr>
          <w:ilvl w:val="0"/>
          <w:numId w:val="7"/>
        </w:numPr>
        <w:contextualSpacing w:val="0"/>
        <w:rPr>
          <w:rFonts w:cstheme="minorHAnsi"/>
          <w:u w:val="single"/>
        </w:rPr>
      </w:pPr>
      <w:r>
        <w:t>Financial Consequences</w:t>
      </w:r>
      <w:r w:rsidR="0065623A">
        <w:t xml:space="preserve"> apply to each Calendar Day beyond the due date until accurately processed, inclusive of the date processed for each ad hoc enrollment request.</w:t>
      </w:r>
    </w:p>
    <w:p w14:paraId="542F81DF" w14:textId="4920A9D1" w:rsidR="00815665" w:rsidRPr="00815665" w:rsidRDefault="00815665" w:rsidP="00815665">
      <w:pPr>
        <w:rPr>
          <w:rFonts w:cstheme="minorHAnsi"/>
          <w:u w:val="single"/>
        </w:rPr>
      </w:pPr>
      <w:r w:rsidRPr="009E6200">
        <w:rPr>
          <w:rFonts w:cstheme="minorHAnsi"/>
          <w:u w:val="single"/>
        </w:rPr>
        <w:t>Relate</w:t>
      </w:r>
      <w:r>
        <w:rPr>
          <w:rFonts w:cstheme="minorHAnsi"/>
          <w:u w:val="single"/>
        </w:rPr>
        <w:t>d Contract Reference:</w:t>
      </w:r>
      <w:r>
        <w:t xml:space="preserve"> Section 18</w:t>
      </w:r>
    </w:p>
    <w:p w14:paraId="0AA24928" w14:textId="77777777" w:rsidR="00486660" w:rsidRPr="00435A86" w:rsidRDefault="00435A86" w:rsidP="00435A86">
      <w:pPr>
        <w:pStyle w:val="ListParagraph"/>
        <w:numPr>
          <w:ilvl w:val="0"/>
          <w:numId w:val="1"/>
        </w:numPr>
      </w:pPr>
      <w:r>
        <w:rPr>
          <w:b/>
        </w:rPr>
        <w:t>Enrollment Packages</w:t>
      </w:r>
    </w:p>
    <w:p w14:paraId="0EDD2BEC" w14:textId="2BCB7F49" w:rsidR="00435A86" w:rsidRDefault="000A5A2B" w:rsidP="00435A86">
      <w:pPr>
        <w:rPr>
          <w:rFonts w:cstheme="minorHAnsi"/>
        </w:rPr>
      </w:pPr>
      <w:r>
        <w:rPr>
          <w:rFonts w:cstheme="minorHAnsi"/>
        </w:rPr>
        <w:t>Insurer shall</w:t>
      </w:r>
      <w:r w:rsidR="005F7249">
        <w:rPr>
          <w:rFonts w:cstheme="minorHAnsi"/>
        </w:rPr>
        <w:t xml:space="preserve"> provide complete enrollment packages, including ID cards, to one hundred percent (100%) of new </w:t>
      </w:r>
      <w:r w:rsidR="00A57488">
        <w:rPr>
          <w:rFonts w:cstheme="minorHAnsi"/>
        </w:rPr>
        <w:t xml:space="preserve">Enrollees </w:t>
      </w:r>
      <w:r w:rsidR="005F7249">
        <w:rPr>
          <w:rFonts w:cstheme="minorHAnsi"/>
        </w:rPr>
        <w:t xml:space="preserve">within five (5) Business Days of receipt of the </w:t>
      </w:r>
      <w:r w:rsidR="00A57488">
        <w:rPr>
          <w:rFonts w:cstheme="minorHAnsi"/>
        </w:rPr>
        <w:t xml:space="preserve">enrollment </w:t>
      </w:r>
      <w:r w:rsidR="005F7249">
        <w:rPr>
          <w:rFonts w:cstheme="minorHAnsi"/>
        </w:rPr>
        <w:t>information.</w:t>
      </w:r>
    </w:p>
    <w:p w14:paraId="55EAAC8A" w14:textId="668EA502" w:rsidR="005F7249" w:rsidRDefault="00A07643" w:rsidP="00435A86">
      <w:r>
        <w:rPr>
          <w:rFonts w:cstheme="minorHAnsi"/>
          <w:u w:val="single"/>
        </w:rPr>
        <w:t>Financial Consequences</w:t>
      </w:r>
      <w:r w:rsidR="005F7249">
        <w:rPr>
          <w:rFonts w:cstheme="minorHAnsi"/>
          <w:u w:val="single"/>
        </w:rPr>
        <w:t>:</w:t>
      </w:r>
      <w:r w:rsidR="005F7249" w:rsidRPr="005F7249">
        <w:t xml:space="preserve"> </w:t>
      </w:r>
      <w:r w:rsidR="00EC7112">
        <w:t>two thousand dollars ($2,000)</w:t>
      </w:r>
      <w:r w:rsidR="009F74AA">
        <w:t xml:space="preserve"> </w:t>
      </w:r>
      <w:r w:rsidR="005F7249">
        <w:t>per percentage point below guarantee.</w:t>
      </w:r>
    </w:p>
    <w:p w14:paraId="7A0080A0" w14:textId="77777777" w:rsidR="005F7249" w:rsidRDefault="005F7249" w:rsidP="00435A86">
      <w:pPr>
        <w:rPr>
          <w:u w:val="single"/>
        </w:rPr>
      </w:pPr>
      <w:r>
        <w:rPr>
          <w:u w:val="single"/>
        </w:rPr>
        <w:lastRenderedPageBreak/>
        <w:t>Calculation Methodology</w:t>
      </w:r>
    </w:p>
    <w:p w14:paraId="005382B9" w14:textId="18F4BB83" w:rsidR="005F7249" w:rsidRPr="005E44D7" w:rsidRDefault="009E32D9" w:rsidP="00800765">
      <w:pPr>
        <w:pStyle w:val="ListParagraph"/>
        <w:numPr>
          <w:ilvl w:val="0"/>
          <w:numId w:val="7"/>
        </w:numPr>
        <w:contextualSpacing w:val="0"/>
        <w:rPr>
          <w:rFonts w:cstheme="minorHAnsi"/>
          <w:u w:val="single"/>
        </w:rPr>
      </w:pPr>
      <w:r>
        <w:rPr>
          <w:rFonts w:cstheme="minorHAnsi"/>
        </w:rPr>
        <w:t>“Provide” is used in the same manner as 42 CFR 438.10(g)(3)</w:t>
      </w:r>
      <w:r w:rsidR="00837F27">
        <w:rPr>
          <w:rFonts w:cstheme="minorHAnsi"/>
        </w:rPr>
        <w:t xml:space="preserve"> except that a physical ID card must be mailed to each Enrollee</w:t>
      </w:r>
      <w:r w:rsidR="005E44D7">
        <w:rPr>
          <w:rFonts w:cstheme="minorHAnsi"/>
        </w:rPr>
        <w:t xml:space="preserve">. </w:t>
      </w:r>
    </w:p>
    <w:p w14:paraId="1ECAABC8" w14:textId="77777777" w:rsidR="005E44D7" w:rsidRPr="00457AFD" w:rsidRDefault="005E44D7" w:rsidP="00800765">
      <w:pPr>
        <w:pStyle w:val="ListParagraph"/>
        <w:numPr>
          <w:ilvl w:val="0"/>
          <w:numId w:val="7"/>
        </w:numPr>
        <w:contextualSpacing w:val="0"/>
        <w:rPr>
          <w:rFonts w:cstheme="minorHAnsi"/>
          <w:u w:val="single"/>
        </w:rPr>
      </w:pPr>
      <w:r>
        <w:rPr>
          <w:rFonts w:cstheme="minorHAnsi"/>
        </w:rPr>
        <w:t>Enrollment packages returned undeliverable due to no fault of Insurer are</w:t>
      </w:r>
      <w:r w:rsidR="00890B77">
        <w:rPr>
          <w:rFonts w:cstheme="minorHAnsi"/>
        </w:rPr>
        <w:t xml:space="preserve"> not included in the measurement. </w:t>
      </w:r>
    </w:p>
    <w:p w14:paraId="642A2738" w14:textId="14FA4FEE" w:rsidR="00EA7F47" w:rsidRPr="00EA7F47" w:rsidRDefault="00EA7F47" w:rsidP="00800765">
      <w:pPr>
        <w:pStyle w:val="ListParagraph"/>
        <w:numPr>
          <w:ilvl w:val="0"/>
          <w:numId w:val="7"/>
        </w:numPr>
        <w:contextualSpacing w:val="0"/>
        <w:rPr>
          <w:rFonts w:cstheme="minorHAnsi"/>
          <w:u w:val="single"/>
        </w:rPr>
      </w:pPr>
      <w:r>
        <w:t>For purposes of determining compliance with this PG and for determining any financial consequences, Insurer shall report the percentage of enrollment packages provided to Enrollees within five (5) Business Days. Performance reported in any other manner, including the number of days to process one hundred percent (100%) of enrollment packages is insufficient to meet the requirements of this PG.</w:t>
      </w:r>
    </w:p>
    <w:p w14:paraId="59BF6CAB" w14:textId="05A9F50A" w:rsidR="00457AFD" w:rsidRPr="00B01FA9" w:rsidRDefault="00A07643" w:rsidP="00800765">
      <w:pPr>
        <w:pStyle w:val="ListParagraph"/>
        <w:numPr>
          <w:ilvl w:val="0"/>
          <w:numId w:val="7"/>
        </w:numPr>
        <w:contextualSpacing w:val="0"/>
        <w:rPr>
          <w:rFonts w:cstheme="minorHAnsi"/>
          <w:u w:val="single"/>
        </w:rPr>
      </w:pPr>
      <w:r>
        <w:rPr>
          <w:rFonts w:cstheme="minorHAnsi"/>
        </w:rPr>
        <w:t>Financial Consequences</w:t>
      </w:r>
      <w:r w:rsidR="00457AFD">
        <w:rPr>
          <w:rFonts w:cstheme="minorHAnsi"/>
        </w:rPr>
        <w:t xml:space="preserve"> </w:t>
      </w:r>
      <w:r w:rsidR="004435F8">
        <w:rPr>
          <w:rFonts w:cstheme="minorHAnsi"/>
        </w:rPr>
        <w:t>shall be</w:t>
      </w:r>
      <w:r w:rsidR="00457AFD">
        <w:rPr>
          <w:rFonts w:cstheme="minorHAnsi"/>
        </w:rPr>
        <w:t xml:space="preserve"> calculated as the difference between the guarantee and the actual result, multiplied by </w:t>
      </w:r>
      <w:r w:rsidR="001B34F8">
        <w:t>two thousand dollars ($2,000)</w:t>
      </w:r>
      <w:r w:rsidR="00457AFD">
        <w:rPr>
          <w:rFonts w:cstheme="minorHAnsi"/>
        </w:rPr>
        <w:t xml:space="preserve">. </w:t>
      </w:r>
    </w:p>
    <w:p w14:paraId="7D008A9A" w14:textId="3256C8D0" w:rsidR="00815665" w:rsidRPr="00062F51" w:rsidRDefault="00062F51" w:rsidP="00815665">
      <w:pPr>
        <w:rPr>
          <w:rFonts w:cstheme="minorHAnsi"/>
          <w:u w:val="single"/>
        </w:rPr>
      </w:pPr>
      <w:r w:rsidRPr="009E6200">
        <w:rPr>
          <w:rFonts w:cstheme="minorHAnsi"/>
          <w:u w:val="single"/>
        </w:rPr>
        <w:t>Relate</w:t>
      </w:r>
      <w:r>
        <w:rPr>
          <w:rFonts w:cstheme="minorHAnsi"/>
          <w:u w:val="single"/>
        </w:rPr>
        <w:t>d Contract Reference:</w:t>
      </w:r>
      <w:r>
        <w:t xml:space="preserve"> Section 18; Section 21</w:t>
      </w:r>
    </w:p>
    <w:p w14:paraId="1FB8B596" w14:textId="77777777" w:rsidR="00BA607C" w:rsidRPr="00D704D8" w:rsidRDefault="00D704D8" w:rsidP="00D704D8">
      <w:pPr>
        <w:pStyle w:val="ListParagraph"/>
        <w:numPr>
          <w:ilvl w:val="0"/>
          <w:numId w:val="1"/>
        </w:numPr>
        <w:rPr>
          <w:rFonts w:cstheme="minorHAnsi"/>
        </w:rPr>
      </w:pPr>
      <w:r>
        <w:rPr>
          <w:rFonts w:cstheme="minorHAnsi"/>
          <w:b/>
        </w:rPr>
        <w:t>Appeal and Grievance Resolution Timeframes</w:t>
      </w:r>
    </w:p>
    <w:p w14:paraId="0C1B10B0" w14:textId="2DA5D169" w:rsidR="00D704D8" w:rsidRDefault="000A5A2B" w:rsidP="00D704D8">
      <w:pPr>
        <w:rPr>
          <w:rFonts w:cstheme="minorHAnsi"/>
        </w:rPr>
      </w:pPr>
      <w:r>
        <w:rPr>
          <w:rFonts w:cstheme="minorHAnsi"/>
        </w:rPr>
        <w:t>Insurer shall</w:t>
      </w:r>
      <w:r w:rsidR="00141CB8">
        <w:rPr>
          <w:rFonts w:cstheme="minorHAnsi"/>
        </w:rPr>
        <w:t xml:space="preserve"> resolve one hundred percent (100%) of </w:t>
      </w:r>
      <w:r w:rsidR="00181B9D">
        <w:rPr>
          <w:rFonts w:cstheme="minorHAnsi"/>
        </w:rPr>
        <w:t>Appeals and Grievances within the timeframes</w:t>
      </w:r>
      <w:r w:rsidR="00A57488">
        <w:rPr>
          <w:rFonts w:cstheme="minorHAnsi"/>
        </w:rPr>
        <w:t xml:space="preserve"> below</w:t>
      </w:r>
      <w:r w:rsidR="00181B9D">
        <w:rPr>
          <w:rFonts w:cstheme="minorHAnsi"/>
        </w:rPr>
        <w:t xml:space="preserve">. Any of the timeframes below may be extended by fourteen (14) Calendar Days if the conditions of 42 CFR 438.408(c) are met. </w:t>
      </w:r>
    </w:p>
    <w:p w14:paraId="055BF793" w14:textId="77777777" w:rsidR="00181B9D" w:rsidRPr="00B8126D" w:rsidRDefault="00181B9D" w:rsidP="00983662">
      <w:pPr>
        <w:pStyle w:val="ListParagraph"/>
        <w:numPr>
          <w:ilvl w:val="0"/>
          <w:numId w:val="8"/>
        </w:numPr>
        <w:contextualSpacing w:val="0"/>
        <w:rPr>
          <w:rFonts w:cstheme="minorHAnsi"/>
        </w:rPr>
      </w:pPr>
      <w:r w:rsidRPr="00B8126D">
        <w:rPr>
          <w:rFonts w:cstheme="minorHAnsi"/>
        </w:rPr>
        <w:t xml:space="preserve">Standard </w:t>
      </w:r>
      <w:r>
        <w:rPr>
          <w:rFonts w:cstheme="minorHAnsi"/>
        </w:rPr>
        <w:t>G</w:t>
      </w:r>
      <w:r w:rsidRPr="00B8126D">
        <w:rPr>
          <w:rFonts w:cstheme="minorHAnsi"/>
        </w:rPr>
        <w:t xml:space="preserve">rievances: </w:t>
      </w:r>
      <w:r>
        <w:rPr>
          <w:rFonts w:cstheme="minorHAnsi"/>
        </w:rPr>
        <w:t>Ninety (</w:t>
      </w:r>
      <w:r w:rsidRPr="00B8126D">
        <w:rPr>
          <w:rFonts w:cstheme="minorHAnsi"/>
        </w:rPr>
        <w:t>90</w:t>
      </w:r>
      <w:r>
        <w:rPr>
          <w:rFonts w:cstheme="minorHAnsi"/>
        </w:rPr>
        <w:t>)</w:t>
      </w:r>
      <w:r w:rsidRPr="00B8126D">
        <w:rPr>
          <w:rFonts w:cstheme="minorHAnsi"/>
        </w:rPr>
        <w:t xml:space="preserve"> Calendar Days</w:t>
      </w:r>
    </w:p>
    <w:p w14:paraId="34356864" w14:textId="77777777" w:rsidR="00181B9D" w:rsidRPr="00B8126D" w:rsidRDefault="00181B9D" w:rsidP="00983662">
      <w:pPr>
        <w:pStyle w:val="ListParagraph"/>
        <w:numPr>
          <w:ilvl w:val="0"/>
          <w:numId w:val="8"/>
        </w:numPr>
        <w:contextualSpacing w:val="0"/>
        <w:rPr>
          <w:rFonts w:cstheme="minorHAnsi"/>
        </w:rPr>
      </w:pPr>
      <w:r w:rsidRPr="00B8126D">
        <w:rPr>
          <w:rFonts w:cstheme="minorHAnsi"/>
        </w:rPr>
        <w:t xml:space="preserve">Standard </w:t>
      </w:r>
      <w:r>
        <w:rPr>
          <w:rFonts w:cstheme="minorHAnsi"/>
        </w:rPr>
        <w:t>A</w:t>
      </w:r>
      <w:r w:rsidRPr="00B8126D">
        <w:rPr>
          <w:rFonts w:cstheme="minorHAnsi"/>
        </w:rPr>
        <w:t xml:space="preserve">ppeals: </w:t>
      </w:r>
      <w:r>
        <w:rPr>
          <w:rFonts w:cstheme="minorHAnsi"/>
        </w:rPr>
        <w:t>Thirty (</w:t>
      </w:r>
      <w:r w:rsidRPr="00B8126D">
        <w:rPr>
          <w:rFonts w:cstheme="minorHAnsi"/>
        </w:rPr>
        <w:t>30</w:t>
      </w:r>
      <w:r>
        <w:rPr>
          <w:rFonts w:cstheme="minorHAnsi"/>
        </w:rPr>
        <w:t>)</w:t>
      </w:r>
      <w:r w:rsidRPr="00B8126D">
        <w:rPr>
          <w:rFonts w:cstheme="minorHAnsi"/>
        </w:rPr>
        <w:t xml:space="preserve"> Calendar Days</w:t>
      </w:r>
    </w:p>
    <w:p w14:paraId="7FF2A1AF" w14:textId="77777777" w:rsidR="00181B9D" w:rsidRDefault="00181B9D" w:rsidP="00983662">
      <w:pPr>
        <w:pStyle w:val="ListParagraph"/>
        <w:numPr>
          <w:ilvl w:val="0"/>
          <w:numId w:val="8"/>
        </w:numPr>
        <w:contextualSpacing w:val="0"/>
        <w:rPr>
          <w:rFonts w:cstheme="minorHAnsi"/>
        </w:rPr>
      </w:pPr>
      <w:r>
        <w:rPr>
          <w:rFonts w:cstheme="minorHAnsi"/>
        </w:rPr>
        <w:t>Expedited A</w:t>
      </w:r>
      <w:r w:rsidRPr="00B8126D">
        <w:rPr>
          <w:rFonts w:cstheme="minorHAnsi"/>
        </w:rPr>
        <w:t xml:space="preserve">ppeals: </w:t>
      </w:r>
      <w:r>
        <w:rPr>
          <w:rFonts w:cstheme="minorHAnsi"/>
        </w:rPr>
        <w:t>Seventy-two (</w:t>
      </w:r>
      <w:r w:rsidRPr="00B8126D">
        <w:rPr>
          <w:rFonts w:cstheme="minorHAnsi"/>
        </w:rPr>
        <w:t>72</w:t>
      </w:r>
      <w:r>
        <w:rPr>
          <w:rFonts w:cstheme="minorHAnsi"/>
        </w:rPr>
        <w:t>)</w:t>
      </w:r>
      <w:r w:rsidRPr="00B8126D">
        <w:rPr>
          <w:rFonts w:cstheme="minorHAnsi"/>
        </w:rPr>
        <w:t xml:space="preserve"> hours</w:t>
      </w:r>
    </w:p>
    <w:p w14:paraId="021AEC93" w14:textId="672A21F4" w:rsidR="00520AE4" w:rsidRDefault="00A07643" w:rsidP="00520AE4">
      <w:r>
        <w:rPr>
          <w:rFonts w:cstheme="minorHAnsi"/>
          <w:u w:val="single"/>
        </w:rPr>
        <w:t>Financial Consequences</w:t>
      </w:r>
      <w:r w:rsidR="00520AE4">
        <w:rPr>
          <w:rFonts w:cstheme="minorHAnsi"/>
          <w:u w:val="single"/>
        </w:rPr>
        <w:t>:</w:t>
      </w:r>
      <w:r w:rsidR="00520AE4" w:rsidRPr="005F7249">
        <w:t xml:space="preserve"> </w:t>
      </w:r>
      <w:r w:rsidR="005D639E">
        <w:t>two thousand five hundred dollars ($2,500)</w:t>
      </w:r>
      <w:r w:rsidR="00520AE4">
        <w:t xml:space="preserve"> per percentage point below guarantee.</w:t>
      </w:r>
    </w:p>
    <w:p w14:paraId="5DF283D7" w14:textId="77777777" w:rsidR="00520AE4" w:rsidRDefault="00520AE4" w:rsidP="00520AE4">
      <w:pPr>
        <w:rPr>
          <w:u w:val="single"/>
        </w:rPr>
      </w:pPr>
      <w:r>
        <w:rPr>
          <w:u w:val="single"/>
        </w:rPr>
        <w:t>Calculation Methodology</w:t>
      </w:r>
    </w:p>
    <w:p w14:paraId="3BB8B10A" w14:textId="48DB732B" w:rsidR="00F54CE8" w:rsidRPr="007A43EE" w:rsidRDefault="00486CFD" w:rsidP="007A43EE">
      <w:pPr>
        <w:pStyle w:val="ListParagraph"/>
        <w:numPr>
          <w:ilvl w:val="0"/>
          <w:numId w:val="7"/>
        </w:numPr>
        <w:contextualSpacing w:val="0"/>
        <w:rPr>
          <w:rFonts w:cstheme="minorHAnsi"/>
        </w:rPr>
      </w:pPr>
      <w:r w:rsidRPr="007A43EE">
        <w:rPr>
          <w:rFonts w:cstheme="minorHAnsi"/>
        </w:rPr>
        <w:t>When determining the percentage of Appeals and Grievances resolved timely, the denominator includes all Appeals and Grievances received for which the latest acceptable resolution date fell within the reporting period</w:t>
      </w:r>
      <w:r w:rsidR="00F72A67" w:rsidRPr="007A43EE">
        <w:rPr>
          <w:rFonts w:cstheme="minorHAnsi"/>
        </w:rPr>
        <w:t>,</w:t>
      </w:r>
      <w:r w:rsidRPr="007A43EE">
        <w:rPr>
          <w:rFonts w:cstheme="minorHAnsi"/>
        </w:rPr>
        <w:t xml:space="preserve"> regardless of when the Appeal or Grievance was </w:t>
      </w:r>
      <w:proofErr w:type="gramStart"/>
      <w:r w:rsidRPr="007A43EE">
        <w:rPr>
          <w:rFonts w:cstheme="minorHAnsi"/>
        </w:rPr>
        <w:t>actually resolved</w:t>
      </w:r>
      <w:proofErr w:type="gramEnd"/>
      <w:r w:rsidRPr="007A43EE">
        <w:rPr>
          <w:rFonts w:cstheme="minorHAnsi"/>
        </w:rPr>
        <w:t>.</w:t>
      </w:r>
      <w:r w:rsidR="007A43EE" w:rsidRPr="007A43EE">
        <w:rPr>
          <w:rFonts w:cstheme="minorHAnsi"/>
        </w:rPr>
        <w:t xml:space="preserve"> For example, an Appeal or Grievance for which the latest acceptable resolution date falls in quarter B shall be included in the denominator for quarter B regardless of the quarter during which the Appeal or Grievance was resolved. </w:t>
      </w:r>
    </w:p>
    <w:p w14:paraId="376CA69F" w14:textId="77777777" w:rsidR="00486CFD" w:rsidRPr="00F36E3C" w:rsidRDefault="00F54CE8" w:rsidP="00F54CE8">
      <w:pPr>
        <w:pStyle w:val="ListParagraph"/>
        <w:numPr>
          <w:ilvl w:val="1"/>
          <w:numId w:val="7"/>
        </w:numPr>
        <w:contextualSpacing w:val="0"/>
        <w:rPr>
          <w:rFonts w:cstheme="minorHAnsi"/>
          <w:u w:val="single"/>
        </w:rPr>
      </w:pPr>
      <w:r>
        <w:rPr>
          <w:rFonts w:cstheme="minorHAnsi"/>
        </w:rPr>
        <w:t xml:space="preserve">The “latest acceptable resolution date” includes the fourteen (14) Calendar Days extension only if the required conditions were met </w:t>
      </w:r>
      <w:r>
        <w:rPr>
          <w:rFonts w:cstheme="minorHAnsi"/>
          <w:b/>
        </w:rPr>
        <w:t>and</w:t>
      </w:r>
      <w:r>
        <w:rPr>
          <w:rFonts w:cstheme="minorHAnsi"/>
        </w:rPr>
        <w:t xml:space="preserve"> the extension was taken</w:t>
      </w:r>
      <w:r w:rsidR="005D6B75">
        <w:rPr>
          <w:rFonts w:cstheme="minorHAnsi"/>
        </w:rPr>
        <w:t xml:space="preserve"> for the Appeal or Grievance</w:t>
      </w:r>
      <w:r w:rsidR="00F36E3C">
        <w:rPr>
          <w:rFonts w:cstheme="minorHAnsi"/>
        </w:rPr>
        <w:t>.</w:t>
      </w:r>
    </w:p>
    <w:p w14:paraId="7EDE6AA8" w14:textId="77777777" w:rsidR="00520AE4" w:rsidRPr="005E44D7" w:rsidRDefault="008D4194" w:rsidP="00520AE4">
      <w:pPr>
        <w:pStyle w:val="ListParagraph"/>
        <w:numPr>
          <w:ilvl w:val="0"/>
          <w:numId w:val="7"/>
        </w:numPr>
        <w:contextualSpacing w:val="0"/>
        <w:rPr>
          <w:rFonts w:cstheme="minorHAnsi"/>
          <w:u w:val="single"/>
        </w:rPr>
      </w:pPr>
      <w:r>
        <w:rPr>
          <w:rFonts w:cstheme="minorHAnsi"/>
        </w:rPr>
        <w:lastRenderedPageBreak/>
        <w:t xml:space="preserve">When determining the percentage of Appeals and Grievances resolved timely, the numerator includes </w:t>
      </w:r>
      <w:r w:rsidR="00F54CE8">
        <w:rPr>
          <w:rFonts w:cstheme="minorHAnsi"/>
        </w:rPr>
        <w:t xml:space="preserve">all Appeals and Grievances </w:t>
      </w:r>
      <w:r w:rsidR="008749BF">
        <w:rPr>
          <w:rFonts w:cstheme="minorHAnsi"/>
        </w:rPr>
        <w:t xml:space="preserve">included in the denominator </w:t>
      </w:r>
      <w:r w:rsidR="000F7931">
        <w:rPr>
          <w:rFonts w:cstheme="minorHAnsi"/>
        </w:rPr>
        <w:t>that were</w:t>
      </w:r>
      <w:r w:rsidR="008749BF">
        <w:rPr>
          <w:rFonts w:cstheme="minorHAnsi"/>
        </w:rPr>
        <w:t xml:space="preserve"> resolved timely. </w:t>
      </w:r>
    </w:p>
    <w:p w14:paraId="1844EE28" w14:textId="16651F84" w:rsidR="005F7249" w:rsidRPr="00062F51" w:rsidRDefault="00A07643" w:rsidP="00D3466E">
      <w:pPr>
        <w:pStyle w:val="ListParagraph"/>
        <w:numPr>
          <w:ilvl w:val="0"/>
          <w:numId w:val="7"/>
        </w:numPr>
        <w:contextualSpacing w:val="0"/>
      </w:pPr>
      <w:r>
        <w:rPr>
          <w:rFonts w:cstheme="minorHAnsi"/>
        </w:rPr>
        <w:t>Financial Consequences</w:t>
      </w:r>
      <w:r w:rsidR="00520AE4" w:rsidRPr="00EB49FF">
        <w:rPr>
          <w:rFonts w:cstheme="minorHAnsi"/>
        </w:rPr>
        <w:t xml:space="preserve"> </w:t>
      </w:r>
      <w:r w:rsidR="004435F8">
        <w:rPr>
          <w:rFonts w:cstheme="minorHAnsi"/>
        </w:rPr>
        <w:t>shall be</w:t>
      </w:r>
      <w:r w:rsidR="00520AE4" w:rsidRPr="00EB49FF">
        <w:rPr>
          <w:rFonts w:cstheme="minorHAnsi"/>
        </w:rPr>
        <w:t xml:space="preserve"> calculated as the difference between the guarantee and the</w:t>
      </w:r>
      <w:r w:rsidR="00EB49FF">
        <w:rPr>
          <w:rFonts w:cstheme="minorHAnsi"/>
        </w:rPr>
        <w:t xml:space="preserve"> actual result, multiplied by </w:t>
      </w:r>
      <w:r w:rsidR="00960BFF">
        <w:t>two thousand five hundred dollars ($2,500)</w:t>
      </w:r>
      <w:r w:rsidR="00520AE4" w:rsidRPr="00EB49FF">
        <w:rPr>
          <w:rFonts w:cstheme="minorHAnsi"/>
        </w:rPr>
        <w:t>.</w:t>
      </w:r>
    </w:p>
    <w:p w14:paraId="13682517" w14:textId="387D9946" w:rsidR="00062F51" w:rsidRPr="00D3466E" w:rsidRDefault="00062F51" w:rsidP="00062F51">
      <w:r w:rsidRPr="009E6200">
        <w:rPr>
          <w:rFonts w:cstheme="minorHAnsi"/>
          <w:u w:val="single"/>
        </w:rPr>
        <w:t>Relate</w:t>
      </w:r>
      <w:r>
        <w:rPr>
          <w:rFonts w:cstheme="minorHAnsi"/>
          <w:u w:val="single"/>
        </w:rPr>
        <w:t>d Contract Reference:</w:t>
      </w:r>
      <w:r>
        <w:t xml:space="preserve"> Section 23</w:t>
      </w:r>
    </w:p>
    <w:p w14:paraId="46C00271" w14:textId="70CF7476" w:rsidR="006672F5" w:rsidRPr="006672F5" w:rsidRDefault="006672F5" w:rsidP="006672F5">
      <w:pPr>
        <w:pStyle w:val="ListParagraph"/>
        <w:numPr>
          <w:ilvl w:val="0"/>
          <w:numId w:val="1"/>
        </w:numPr>
        <w:contextualSpacing w:val="0"/>
      </w:pPr>
      <w:r>
        <w:rPr>
          <w:b/>
        </w:rPr>
        <w:t>Independent Review Timeframes</w:t>
      </w:r>
    </w:p>
    <w:p w14:paraId="49585E69" w14:textId="2B33C394" w:rsidR="006A67C8" w:rsidRDefault="006A67C8" w:rsidP="006A67C8">
      <w:pPr>
        <w:rPr>
          <w:rFonts w:cstheme="minorHAnsi"/>
        </w:rPr>
      </w:pPr>
      <w:r>
        <w:rPr>
          <w:rFonts w:cstheme="minorHAnsi"/>
        </w:rPr>
        <w:t>Insurer shall ensure that Insurer’s contracted IRO</w:t>
      </w:r>
      <w:r w:rsidR="005E0B35">
        <w:rPr>
          <w:rFonts w:cstheme="minorHAnsi"/>
        </w:rPr>
        <w:t xml:space="preserve"> completes</w:t>
      </w:r>
      <w:r>
        <w:rPr>
          <w:rFonts w:cstheme="minorHAnsi"/>
        </w:rPr>
        <w:t xml:space="preserve"> one hundred percent (100%) of </w:t>
      </w:r>
      <w:r w:rsidR="005E0B35">
        <w:rPr>
          <w:rFonts w:cstheme="minorHAnsi"/>
        </w:rPr>
        <w:t>the independent reviews</w:t>
      </w:r>
      <w:r>
        <w:rPr>
          <w:rFonts w:cstheme="minorHAnsi"/>
        </w:rPr>
        <w:t xml:space="preserve"> within the timeframes below. </w:t>
      </w:r>
    </w:p>
    <w:p w14:paraId="276C5061" w14:textId="16AA9989" w:rsidR="006A67C8" w:rsidRPr="00B8126D" w:rsidRDefault="006A67C8" w:rsidP="006A67C8">
      <w:pPr>
        <w:pStyle w:val="ListParagraph"/>
        <w:numPr>
          <w:ilvl w:val="0"/>
          <w:numId w:val="8"/>
        </w:numPr>
        <w:contextualSpacing w:val="0"/>
        <w:rPr>
          <w:rFonts w:cstheme="minorHAnsi"/>
        </w:rPr>
      </w:pPr>
      <w:r w:rsidRPr="00B8126D">
        <w:rPr>
          <w:rFonts w:cstheme="minorHAnsi"/>
        </w:rPr>
        <w:t xml:space="preserve">Standard </w:t>
      </w:r>
      <w:r w:rsidR="005E0B35">
        <w:rPr>
          <w:rFonts w:cstheme="minorHAnsi"/>
        </w:rPr>
        <w:t>Review</w:t>
      </w:r>
      <w:r w:rsidRPr="00B8126D">
        <w:rPr>
          <w:rFonts w:cstheme="minorHAnsi"/>
        </w:rPr>
        <w:t xml:space="preserve">: </w:t>
      </w:r>
      <w:r w:rsidR="005E0B35">
        <w:rPr>
          <w:rFonts w:cstheme="minorHAnsi"/>
        </w:rPr>
        <w:t>Ninety</w:t>
      </w:r>
      <w:r>
        <w:rPr>
          <w:rFonts w:cstheme="minorHAnsi"/>
        </w:rPr>
        <w:t xml:space="preserve"> (</w:t>
      </w:r>
      <w:r w:rsidR="005E0B35">
        <w:rPr>
          <w:rFonts w:cstheme="minorHAnsi"/>
        </w:rPr>
        <w:t>90</w:t>
      </w:r>
      <w:r>
        <w:rPr>
          <w:rFonts w:cstheme="minorHAnsi"/>
        </w:rPr>
        <w:t>)</w:t>
      </w:r>
      <w:r w:rsidRPr="00B8126D">
        <w:rPr>
          <w:rFonts w:cstheme="minorHAnsi"/>
        </w:rPr>
        <w:t xml:space="preserve"> Calendar Days</w:t>
      </w:r>
    </w:p>
    <w:p w14:paraId="01545004" w14:textId="572AE0E8" w:rsidR="006A67C8" w:rsidRDefault="006A67C8" w:rsidP="006A67C8">
      <w:pPr>
        <w:pStyle w:val="ListParagraph"/>
        <w:numPr>
          <w:ilvl w:val="0"/>
          <w:numId w:val="8"/>
        </w:numPr>
        <w:contextualSpacing w:val="0"/>
        <w:rPr>
          <w:rFonts w:cstheme="minorHAnsi"/>
        </w:rPr>
      </w:pPr>
      <w:r>
        <w:rPr>
          <w:rFonts w:cstheme="minorHAnsi"/>
        </w:rPr>
        <w:t xml:space="preserve">Expedited </w:t>
      </w:r>
      <w:r w:rsidR="005E0B35">
        <w:rPr>
          <w:rFonts w:cstheme="minorHAnsi"/>
        </w:rPr>
        <w:t>Review</w:t>
      </w:r>
      <w:r w:rsidRPr="00B8126D">
        <w:rPr>
          <w:rFonts w:cstheme="minorHAnsi"/>
        </w:rPr>
        <w:t xml:space="preserve">: </w:t>
      </w:r>
      <w:r>
        <w:rPr>
          <w:rFonts w:cstheme="minorHAnsi"/>
        </w:rPr>
        <w:t>Seventy-two (</w:t>
      </w:r>
      <w:r w:rsidRPr="00B8126D">
        <w:rPr>
          <w:rFonts w:cstheme="minorHAnsi"/>
        </w:rPr>
        <w:t>72</w:t>
      </w:r>
      <w:r>
        <w:rPr>
          <w:rFonts w:cstheme="minorHAnsi"/>
        </w:rPr>
        <w:t>)</w:t>
      </w:r>
      <w:r w:rsidRPr="00B8126D">
        <w:rPr>
          <w:rFonts w:cstheme="minorHAnsi"/>
        </w:rPr>
        <w:t xml:space="preserve"> hours</w:t>
      </w:r>
    </w:p>
    <w:p w14:paraId="1A8E5477" w14:textId="77777777" w:rsidR="006A67C8" w:rsidRDefault="006A67C8" w:rsidP="006A67C8">
      <w:r>
        <w:rPr>
          <w:rFonts w:cstheme="minorHAnsi"/>
          <w:u w:val="single"/>
        </w:rPr>
        <w:t>Financial Consequences:</w:t>
      </w:r>
      <w:r w:rsidRPr="005F7249">
        <w:t xml:space="preserve"> </w:t>
      </w:r>
      <w:r>
        <w:t>two thousand five hundred dollars ($2,500) per percentage point below guarantee.</w:t>
      </w:r>
    </w:p>
    <w:p w14:paraId="614B16BF" w14:textId="77777777" w:rsidR="006A67C8" w:rsidRDefault="006A67C8" w:rsidP="006A67C8">
      <w:pPr>
        <w:rPr>
          <w:u w:val="single"/>
        </w:rPr>
      </w:pPr>
      <w:r>
        <w:rPr>
          <w:u w:val="single"/>
        </w:rPr>
        <w:t>Calculation Methodology</w:t>
      </w:r>
    </w:p>
    <w:p w14:paraId="18B4879A" w14:textId="60A35646" w:rsidR="006A67C8" w:rsidRPr="007A43EE" w:rsidRDefault="006A67C8" w:rsidP="006A67C8">
      <w:pPr>
        <w:pStyle w:val="ListParagraph"/>
        <w:numPr>
          <w:ilvl w:val="0"/>
          <w:numId w:val="7"/>
        </w:numPr>
        <w:contextualSpacing w:val="0"/>
        <w:rPr>
          <w:rFonts w:cstheme="minorHAnsi"/>
        </w:rPr>
      </w:pPr>
      <w:r w:rsidRPr="007A43EE">
        <w:rPr>
          <w:rFonts w:cstheme="minorHAnsi"/>
        </w:rPr>
        <w:t xml:space="preserve">When determining the percentage of </w:t>
      </w:r>
      <w:r w:rsidR="00EA7C56">
        <w:rPr>
          <w:rFonts w:cstheme="minorHAnsi"/>
        </w:rPr>
        <w:t>reviews</w:t>
      </w:r>
      <w:r w:rsidRPr="007A43EE">
        <w:rPr>
          <w:rFonts w:cstheme="minorHAnsi"/>
        </w:rPr>
        <w:t xml:space="preserve"> resolved timely, the denominator includes all </w:t>
      </w:r>
      <w:r w:rsidR="00EA7C56">
        <w:rPr>
          <w:rFonts w:cstheme="minorHAnsi"/>
        </w:rPr>
        <w:t>reviews</w:t>
      </w:r>
      <w:r w:rsidRPr="007A43EE">
        <w:rPr>
          <w:rFonts w:cstheme="minorHAnsi"/>
        </w:rPr>
        <w:t xml:space="preserve"> received for which the latest acceptable resolution date fell within the reporting period, regardless of when the </w:t>
      </w:r>
      <w:r w:rsidR="00EA7C56">
        <w:rPr>
          <w:rFonts w:cstheme="minorHAnsi"/>
        </w:rPr>
        <w:t>review</w:t>
      </w:r>
      <w:r w:rsidRPr="007A43EE">
        <w:rPr>
          <w:rFonts w:cstheme="minorHAnsi"/>
        </w:rPr>
        <w:t xml:space="preserve"> was </w:t>
      </w:r>
      <w:proofErr w:type="gramStart"/>
      <w:r w:rsidRPr="007A43EE">
        <w:rPr>
          <w:rFonts w:cstheme="minorHAnsi"/>
        </w:rPr>
        <w:t>actually resolved</w:t>
      </w:r>
      <w:proofErr w:type="gramEnd"/>
      <w:r w:rsidRPr="007A43EE">
        <w:rPr>
          <w:rFonts w:cstheme="minorHAnsi"/>
        </w:rPr>
        <w:t>.</w:t>
      </w:r>
      <w:r w:rsidR="00967386">
        <w:rPr>
          <w:rFonts w:cstheme="minorHAnsi"/>
        </w:rPr>
        <w:t xml:space="preserve"> For example, a</w:t>
      </w:r>
      <w:r w:rsidRPr="007A43EE">
        <w:rPr>
          <w:rFonts w:cstheme="minorHAnsi"/>
        </w:rPr>
        <w:t xml:space="preserve"> </w:t>
      </w:r>
      <w:r w:rsidR="00EA7C56">
        <w:rPr>
          <w:rFonts w:cstheme="minorHAnsi"/>
        </w:rPr>
        <w:t>review</w:t>
      </w:r>
      <w:r w:rsidRPr="007A43EE">
        <w:rPr>
          <w:rFonts w:cstheme="minorHAnsi"/>
        </w:rPr>
        <w:t xml:space="preserve"> for which the latest acceptable resolution date falls in quarter B shall be included in the denominator for quarter B regardless of the quarter during which the </w:t>
      </w:r>
      <w:r w:rsidR="00EA7C56">
        <w:rPr>
          <w:rFonts w:cstheme="minorHAnsi"/>
        </w:rPr>
        <w:t>review</w:t>
      </w:r>
      <w:r w:rsidRPr="007A43EE">
        <w:rPr>
          <w:rFonts w:cstheme="minorHAnsi"/>
        </w:rPr>
        <w:t xml:space="preserve"> was resolved. </w:t>
      </w:r>
    </w:p>
    <w:p w14:paraId="2CE9EC97" w14:textId="529A88F4" w:rsidR="006A67C8" w:rsidRPr="005E44D7" w:rsidRDefault="006A67C8" w:rsidP="006A67C8">
      <w:pPr>
        <w:pStyle w:val="ListParagraph"/>
        <w:numPr>
          <w:ilvl w:val="0"/>
          <w:numId w:val="7"/>
        </w:numPr>
        <w:contextualSpacing w:val="0"/>
        <w:rPr>
          <w:rFonts w:cstheme="minorHAnsi"/>
          <w:u w:val="single"/>
        </w:rPr>
      </w:pPr>
      <w:r>
        <w:rPr>
          <w:rFonts w:cstheme="minorHAnsi"/>
        </w:rPr>
        <w:t xml:space="preserve">When determining the percentage of </w:t>
      </w:r>
      <w:r w:rsidR="00EA7C56">
        <w:rPr>
          <w:rFonts w:cstheme="minorHAnsi"/>
        </w:rPr>
        <w:t>reviews</w:t>
      </w:r>
      <w:r>
        <w:rPr>
          <w:rFonts w:cstheme="minorHAnsi"/>
        </w:rPr>
        <w:t xml:space="preserve"> resolved timely, the numerator includes all </w:t>
      </w:r>
      <w:r w:rsidR="00EA7C56">
        <w:rPr>
          <w:rFonts w:cstheme="minorHAnsi"/>
        </w:rPr>
        <w:t>reviews</w:t>
      </w:r>
      <w:r>
        <w:rPr>
          <w:rFonts w:cstheme="minorHAnsi"/>
        </w:rPr>
        <w:t xml:space="preserve"> included in the denominator that were resolved timely. </w:t>
      </w:r>
    </w:p>
    <w:p w14:paraId="25261F18" w14:textId="77777777" w:rsidR="006A67C8" w:rsidRPr="00062F51" w:rsidRDefault="006A67C8" w:rsidP="006A67C8">
      <w:pPr>
        <w:pStyle w:val="ListParagraph"/>
        <w:numPr>
          <w:ilvl w:val="0"/>
          <w:numId w:val="7"/>
        </w:numPr>
        <w:contextualSpacing w:val="0"/>
      </w:pPr>
      <w:r>
        <w:rPr>
          <w:rFonts w:cstheme="minorHAnsi"/>
        </w:rPr>
        <w:t>Financial Consequences</w:t>
      </w:r>
      <w:r w:rsidRPr="00EB49FF">
        <w:rPr>
          <w:rFonts w:cstheme="minorHAnsi"/>
        </w:rPr>
        <w:t xml:space="preserve"> </w:t>
      </w:r>
      <w:r>
        <w:rPr>
          <w:rFonts w:cstheme="minorHAnsi"/>
        </w:rPr>
        <w:t>shall be</w:t>
      </w:r>
      <w:r w:rsidRPr="00EB49FF">
        <w:rPr>
          <w:rFonts w:cstheme="minorHAnsi"/>
        </w:rPr>
        <w:t xml:space="preserve"> calculated as the difference between the guarantee and the</w:t>
      </w:r>
      <w:r>
        <w:rPr>
          <w:rFonts w:cstheme="minorHAnsi"/>
        </w:rPr>
        <w:t xml:space="preserve"> actual result, multiplied by </w:t>
      </w:r>
      <w:r>
        <w:t>two thousand five hundred dollars ($2,500)</w:t>
      </w:r>
      <w:r w:rsidRPr="00EB49FF">
        <w:rPr>
          <w:rFonts w:cstheme="minorHAnsi"/>
        </w:rPr>
        <w:t>.</w:t>
      </w:r>
    </w:p>
    <w:p w14:paraId="61B3B7F2" w14:textId="4283A513" w:rsidR="006672F5" w:rsidRPr="006672F5" w:rsidRDefault="006A67C8" w:rsidP="006A67C8">
      <w:r w:rsidRPr="009E6200">
        <w:rPr>
          <w:rFonts w:cstheme="minorHAnsi"/>
          <w:u w:val="single"/>
        </w:rPr>
        <w:t>Relate</w:t>
      </w:r>
      <w:r>
        <w:rPr>
          <w:rFonts w:cstheme="minorHAnsi"/>
          <w:u w:val="single"/>
        </w:rPr>
        <w:t>d Contract Reference:</w:t>
      </w:r>
      <w:r>
        <w:t xml:space="preserve"> Section 23</w:t>
      </w:r>
    </w:p>
    <w:p w14:paraId="27712696" w14:textId="096A1BFA" w:rsidR="00D3466E" w:rsidRDefault="00B02D22" w:rsidP="00D3466E">
      <w:pPr>
        <w:pStyle w:val="ListParagraph"/>
        <w:numPr>
          <w:ilvl w:val="0"/>
          <w:numId w:val="1"/>
        </w:numPr>
      </w:pPr>
      <w:r>
        <w:rPr>
          <w:b/>
        </w:rPr>
        <w:t xml:space="preserve">Electronic </w:t>
      </w:r>
      <w:r w:rsidR="00C7200F">
        <w:rPr>
          <w:b/>
        </w:rPr>
        <w:t>Claims Processing</w:t>
      </w:r>
    </w:p>
    <w:p w14:paraId="3AE208DB" w14:textId="63791E8B" w:rsidR="00C7200F" w:rsidRDefault="000A5A2B" w:rsidP="00C7200F">
      <w:r>
        <w:t>Insurer shall</w:t>
      </w:r>
      <w:r w:rsidR="00B02D22">
        <w:t xml:space="preserve"> process </w:t>
      </w:r>
      <w:r w:rsidR="001376BD">
        <w:t>ninety</w:t>
      </w:r>
      <w:r w:rsidR="00B02D22">
        <w:t xml:space="preserve"> percent</w:t>
      </w:r>
      <w:r w:rsidR="001376BD">
        <w:t xml:space="preserve"> (90%)</w:t>
      </w:r>
      <w:r w:rsidR="008D1490">
        <w:t xml:space="preserve"> of </w:t>
      </w:r>
      <w:r w:rsidR="00B02D22">
        <w:t xml:space="preserve">electronic </w:t>
      </w:r>
      <w:r w:rsidR="008D1490">
        <w:t>claims</w:t>
      </w:r>
      <w:r w:rsidR="00B02D22">
        <w:t xml:space="preserve"> within </w:t>
      </w:r>
      <w:r w:rsidR="00B37D5E">
        <w:t>fifteen (</w:t>
      </w:r>
      <w:r w:rsidR="00B02D22">
        <w:t>15</w:t>
      </w:r>
      <w:r w:rsidR="00B37D5E">
        <w:t>)</w:t>
      </w:r>
      <w:r w:rsidR="00B02D22">
        <w:t xml:space="preserve"> Calendar Days</w:t>
      </w:r>
      <w:r w:rsidR="00A95410">
        <w:t xml:space="preserve">. </w:t>
      </w:r>
    </w:p>
    <w:p w14:paraId="55A09FC9" w14:textId="3F9826FA" w:rsidR="00E4429F" w:rsidRDefault="00A07643" w:rsidP="00F418F8">
      <w:r>
        <w:rPr>
          <w:rFonts w:cstheme="minorHAnsi"/>
          <w:u w:val="single"/>
        </w:rPr>
        <w:t>Financial Consequences</w:t>
      </w:r>
      <w:r w:rsidR="00F418F8">
        <w:rPr>
          <w:rFonts w:cstheme="minorHAnsi"/>
          <w:u w:val="single"/>
        </w:rPr>
        <w:t>:</w:t>
      </w:r>
      <w:r w:rsidR="00F418F8" w:rsidRPr="005F7249">
        <w:t xml:space="preserve"> </w:t>
      </w:r>
      <w:r w:rsidR="005A07EF">
        <w:t>one thousand dollars ($1,000)</w:t>
      </w:r>
      <w:r w:rsidR="00F418F8">
        <w:t xml:space="preserve"> per percentage point below guarantee.</w:t>
      </w:r>
    </w:p>
    <w:p w14:paraId="0E1ECA53" w14:textId="77777777" w:rsidR="00F418F8" w:rsidRDefault="00F418F8" w:rsidP="00F418F8">
      <w:pPr>
        <w:rPr>
          <w:u w:val="single"/>
        </w:rPr>
      </w:pPr>
      <w:r>
        <w:rPr>
          <w:u w:val="single"/>
        </w:rPr>
        <w:t>Calculation Methodology</w:t>
      </w:r>
    </w:p>
    <w:p w14:paraId="4E447FA2" w14:textId="57DF4C8A" w:rsidR="00FB4C6E" w:rsidRDefault="00FB4C6E" w:rsidP="001D289C">
      <w:pPr>
        <w:pStyle w:val="ListParagraph"/>
        <w:numPr>
          <w:ilvl w:val="0"/>
          <w:numId w:val="11"/>
        </w:numPr>
        <w:contextualSpacing w:val="0"/>
      </w:pPr>
      <w:r>
        <w:t xml:space="preserve">The measurement </w:t>
      </w:r>
      <w:r w:rsidR="00395181">
        <w:t>for</w:t>
      </w:r>
      <w:r>
        <w:t xml:space="preserve"> </w:t>
      </w:r>
      <w:r w:rsidR="00B02D22">
        <w:t xml:space="preserve">electronic </w:t>
      </w:r>
      <w:r>
        <w:t>claims</w:t>
      </w:r>
      <w:r w:rsidR="00395181">
        <w:t xml:space="preserve"> includes</w:t>
      </w:r>
      <w:r w:rsidR="00BB4B6D">
        <w:t xml:space="preserve"> clean claims and </w:t>
      </w:r>
      <w:r w:rsidR="00C62EC4">
        <w:t>claims for</w:t>
      </w:r>
      <w:r>
        <w:t xml:space="preserve"> which all information requested by Insurer to continue processing the claim has been received. </w:t>
      </w:r>
    </w:p>
    <w:p w14:paraId="34E14D82" w14:textId="780CDCC2" w:rsidR="00FB4C6E" w:rsidRDefault="00FB4C6E" w:rsidP="001D289C">
      <w:pPr>
        <w:pStyle w:val="ListParagraph"/>
        <w:numPr>
          <w:ilvl w:val="0"/>
          <w:numId w:val="11"/>
        </w:numPr>
        <w:contextualSpacing w:val="0"/>
      </w:pPr>
      <w:r>
        <w:lastRenderedPageBreak/>
        <w:t xml:space="preserve">The measurement begins on the date a </w:t>
      </w:r>
      <w:r w:rsidR="00773F0D">
        <w:t xml:space="preserve">clean </w:t>
      </w:r>
      <w:r>
        <w:t>claim is received or</w:t>
      </w:r>
      <w:r w:rsidR="00773F0D">
        <w:t xml:space="preserve"> on the date stamped on information received</w:t>
      </w:r>
      <w:r>
        <w:t xml:space="preserve"> for non-clean claims</w:t>
      </w:r>
      <w:r w:rsidR="005A74A3">
        <w:t>. The measurement</w:t>
      </w:r>
      <w:r>
        <w:t xml:space="preserve"> ends on </w:t>
      </w:r>
      <w:r w:rsidR="005A74A3">
        <w:t xml:space="preserve">either </w:t>
      </w:r>
      <w:r>
        <w:t>the date a payment is made, as indicated by the date on the payment</w:t>
      </w:r>
      <w:r w:rsidR="00705F1A">
        <w:t>,</w:t>
      </w:r>
      <w:r>
        <w:t xml:space="preserve"> or the date the claim is denied, as indicated by the date on the denial notice. </w:t>
      </w:r>
    </w:p>
    <w:p w14:paraId="42673E08" w14:textId="5FE6C335" w:rsidR="00FB4C6E" w:rsidRDefault="00F94916" w:rsidP="001D289C">
      <w:pPr>
        <w:pStyle w:val="ListParagraph"/>
        <w:numPr>
          <w:ilvl w:val="0"/>
          <w:numId w:val="11"/>
        </w:numPr>
        <w:contextualSpacing w:val="0"/>
      </w:pPr>
      <w:r>
        <w:t xml:space="preserve">Claims </w:t>
      </w:r>
      <w:r w:rsidR="00332ECE">
        <w:t xml:space="preserve">currently </w:t>
      </w:r>
      <w:r>
        <w:t>pending response from Providers are not included in this measurement.</w:t>
      </w:r>
    </w:p>
    <w:p w14:paraId="5802DD77" w14:textId="77777777" w:rsidR="008B425C" w:rsidRDefault="00F94916" w:rsidP="001D289C">
      <w:pPr>
        <w:pStyle w:val="ListParagraph"/>
        <w:numPr>
          <w:ilvl w:val="0"/>
          <w:numId w:val="11"/>
        </w:numPr>
        <w:contextualSpacing w:val="0"/>
      </w:pPr>
      <w:r>
        <w:t>Claims related to investigations for potential fraud, waste or abuse are not included in this measurement.</w:t>
      </w:r>
    </w:p>
    <w:p w14:paraId="0DC38F87" w14:textId="7C08B92D" w:rsidR="00F94916" w:rsidRDefault="008B425C" w:rsidP="001D289C">
      <w:pPr>
        <w:pStyle w:val="ListParagraph"/>
        <w:numPr>
          <w:ilvl w:val="0"/>
          <w:numId w:val="11"/>
        </w:numPr>
        <w:contextualSpacing w:val="0"/>
      </w:pPr>
      <w:r>
        <w:t xml:space="preserve">For purposes of determining compliance with this PG and for determining any financial consequences, Insurer shall report the </w:t>
      </w:r>
      <w:r w:rsidR="0012540F">
        <w:t>percentage of electronic claims processed within fifteen (15) Calendar Days</w:t>
      </w:r>
      <w:r>
        <w:t xml:space="preserve">. Performance reported in any other manner, including the number of days to process </w:t>
      </w:r>
      <w:r w:rsidR="0012540F">
        <w:t xml:space="preserve">ninety percent (90%) of electronic claims </w:t>
      </w:r>
      <w:r>
        <w:t>is insufficient to meet the requirements of this PG.</w:t>
      </w:r>
      <w:r w:rsidR="00F94916">
        <w:t xml:space="preserve"> </w:t>
      </w:r>
    </w:p>
    <w:p w14:paraId="0F65C8C5" w14:textId="0FCB76D7" w:rsidR="009F7F6B" w:rsidRPr="001E72A0" w:rsidRDefault="00A07643" w:rsidP="009F7F6B">
      <w:pPr>
        <w:pStyle w:val="ListParagraph"/>
        <w:numPr>
          <w:ilvl w:val="0"/>
          <w:numId w:val="11"/>
        </w:numPr>
        <w:contextualSpacing w:val="0"/>
      </w:pPr>
      <w:r>
        <w:rPr>
          <w:rFonts w:cstheme="minorHAnsi"/>
        </w:rPr>
        <w:t>Financial Consequences</w:t>
      </w:r>
      <w:r w:rsidR="009F7F6B" w:rsidRPr="00EB49FF">
        <w:rPr>
          <w:rFonts w:cstheme="minorHAnsi"/>
        </w:rPr>
        <w:t xml:space="preserve"> </w:t>
      </w:r>
      <w:r w:rsidR="004435F8">
        <w:rPr>
          <w:rFonts w:cstheme="minorHAnsi"/>
        </w:rPr>
        <w:t>shall be</w:t>
      </w:r>
      <w:r w:rsidR="009F7F6B" w:rsidRPr="00EB49FF">
        <w:rPr>
          <w:rFonts w:cstheme="minorHAnsi"/>
        </w:rPr>
        <w:t xml:space="preserve"> calculated as the difference between the guarantee and the</w:t>
      </w:r>
      <w:r w:rsidR="009F7F6B">
        <w:rPr>
          <w:rFonts w:cstheme="minorHAnsi"/>
        </w:rPr>
        <w:t xml:space="preserve"> actual result, multiplied by </w:t>
      </w:r>
      <w:r w:rsidR="005A07EF">
        <w:rPr>
          <w:rFonts w:cstheme="minorHAnsi"/>
        </w:rPr>
        <w:t>one thousand dollars ($1,000)</w:t>
      </w:r>
      <w:r w:rsidR="009F7F6B" w:rsidRPr="00EB49FF">
        <w:rPr>
          <w:rFonts w:cstheme="minorHAnsi"/>
        </w:rPr>
        <w:t>.</w:t>
      </w:r>
    </w:p>
    <w:p w14:paraId="727F3B72" w14:textId="729C1845" w:rsidR="00062F51" w:rsidRPr="00D3466E" w:rsidRDefault="00062F51" w:rsidP="00062F51">
      <w:r w:rsidRPr="009E6200">
        <w:rPr>
          <w:rFonts w:cstheme="minorHAnsi"/>
          <w:u w:val="single"/>
        </w:rPr>
        <w:t>Relate</w:t>
      </w:r>
      <w:r>
        <w:rPr>
          <w:rFonts w:cstheme="minorHAnsi"/>
          <w:u w:val="single"/>
        </w:rPr>
        <w:t>d Contract Reference:</w:t>
      </w:r>
      <w:r>
        <w:t xml:space="preserve"> Section 24</w:t>
      </w:r>
    </w:p>
    <w:p w14:paraId="4ED3D6DA" w14:textId="3A579F42" w:rsidR="00711D92" w:rsidRDefault="00711D92" w:rsidP="00711D92">
      <w:pPr>
        <w:pStyle w:val="ListParagraph"/>
        <w:numPr>
          <w:ilvl w:val="0"/>
          <w:numId w:val="1"/>
        </w:numPr>
      </w:pPr>
      <w:r>
        <w:rPr>
          <w:b/>
        </w:rPr>
        <w:t>Paper Claims Processing</w:t>
      </w:r>
    </w:p>
    <w:p w14:paraId="2FE64642" w14:textId="40BB6E45" w:rsidR="00711D92" w:rsidRDefault="000A5A2B" w:rsidP="00711D92">
      <w:r>
        <w:t>Insurer shall</w:t>
      </w:r>
      <w:r w:rsidR="00711D92">
        <w:t xml:space="preserve"> process </w:t>
      </w:r>
      <w:r w:rsidR="00F96ECD">
        <w:t xml:space="preserve">ninety </w:t>
      </w:r>
      <w:r w:rsidR="00BD25FC">
        <w:t>percent</w:t>
      </w:r>
      <w:r w:rsidR="00711D92">
        <w:t xml:space="preserve"> </w:t>
      </w:r>
      <w:r w:rsidR="00BD25FC">
        <w:t xml:space="preserve">(90%) </w:t>
      </w:r>
      <w:r w:rsidR="00711D92">
        <w:t xml:space="preserve">of paper claims within </w:t>
      </w:r>
      <w:r w:rsidR="00631A94">
        <w:t>twenty (</w:t>
      </w:r>
      <w:r w:rsidR="00711D92">
        <w:t>20</w:t>
      </w:r>
      <w:r w:rsidR="00631A94">
        <w:t>)</w:t>
      </w:r>
      <w:r w:rsidR="00711D92">
        <w:t xml:space="preserve"> Calendar Days. </w:t>
      </w:r>
    </w:p>
    <w:p w14:paraId="27A79D3E" w14:textId="4AD85A73" w:rsidR="00711D92" w:rsidRDefault="00711D92" w:rsidP="00711D92">
      <w:r>
        <w:rPr>
          <w:rFonts w:cstheme="minorHAnsi"/>
          <w:u w:val="single"/>
        </w:rPr>
        <w:t>Financial Consequences:</w:t>
      </w:r>
      <w:r w:rsidRPr="005F7249">
        <w:t xml:space="preserve"> </w:t>
      </w:r>
      <w:r w:rsidR="005A07EF">
        <w:t>one thousand dollars ($1,000)</w:t>
      </w:r>
      <w:r>
        <w:t xml:space="preserve"> per percentage point below guarantee.</w:t>
      </w:r>
    </w:p>
    <w:p w14:paraId="64480B7E" w14:textId="77777777" w:rsidR="00711D92" w:rsidRDefault="00711D92" w:rsidP="00711D92">
      <w:pPr>
        <w:rPr>
          <w:u w:val="single"/>
        </w:rPr>
      </w:pPr>
      <w:r>
        <w:rPr>
          <w:u w:val="single"/>
        </w:rPr>
        <w:t>Calculation Methodology</w:t>
      </w:r>
    </w:p>
    <w:p w14:paraId="3AEDD4EA" w14:textId="2D2F974A" w:rsidR="00711D92" w:rsidRDefault="00711D92" w:rsidP="00711D92">
      <w:pPr>
        <w:pStyle w:val="ListParagraph"/>
        <w:numPr>
          <w:ilvl w:val="0"/>
          <w:numId w:val="11"/>
        </w:numPr>
        <w:contextualSpacing w:val="0"/>
      </w:pPr>
      <w:r>
        <w:t xml:space="preserve">The measurement </w:t>
      </w:r>
      <w:r w:rsidR="00395181">
        <w:t>for</w:t>
      </w:r>
      <w:r>
        <w:t xml:space="preserve"> paper claims</w:t>
      </w:r>
      <w:r w:rsidR="00395181">
        <w:t xml:space="preserve"> includes clean claims</w:t>
      </w:r>
      <w:r>
        <w:t xml:space="preserve"> and claims for which all information requested by Insurer to continue processing the claim has been received. </w:t>
      </w:r>
    </w:p>
    <w:p w14:paraId="510DDD50" w14:textId="178F50AB" w:rsidR="00711D92" w:rsidRDefault="00072DBB" w:rsidP="00711D92">
      <w:pPr>
        <w:pStyle w:val="ListParagraph"/>
        <w:numPr>
          <w:ilvl w:val="0"/>
          <w:numId w:val="11"/>
        </w:numPr>
        <w:contextualSpacing w:val="0"/>
      </w:pPr>
      <w:r>
        <w:t>The measurement begins on the date a clean claim is received or on the date stamped on information received for non-clean claims. The measurement ends on either the date a payment is made, as indicated by the date on the payment, or the date the claim is denied, as indicated by the date on the denial notice.</w:t>
      </w:r>
      <w:r w:rsidR="00711D92">
        <w:t xml:space="preserve"> </w:t>
      </w:r>
    </w:p>
    <w:p w14:paraId="1BF02AC5" w14:textId="01CCB7C0" w:rsidR="00711D92" w:rsidRDefault="00711D92" w:rsidP="00711D92">
      <w:pPr>
        <w:pStyle w:val="ListParagraph"/>
        <w:numPr>
          <w:ilvl w:val="0"/>
          <w:numId w:val="11"/>
        </w:numPr>
        <w:contextualSpacing w:val="0"/>
      </w:pPr>
      <w:r>
        <w:t xml:space="preserve">Claims </w:t>
      </w:r>
      <w:r w:rsidR="00DB0F99">
        <w:t xml:space="preserve">currently </w:t>
      </w:r>
      <w:r>
        <w:t>pending response from Providers are not included in this measurement.</w:t>
      </w:r>
    </w:p>
    <w:p w14:paraId="67A57FD6" w14:textId="0AED9A56" w:rsidR="00711D92" w:rsidRDefault="00711D92" w:rsidP="00711D92">
      <w:pPr>
        <w:pStyle w:val="ListParagraph"/>
        <w:numPr>
          <w:ilvl w:val="0"/>
          <w:numId w:val="11"/>
        </w:numPr>
        <w:contextualSpacing w:val="0"/>
      </w:pPr>
      <w:r>
        <w:t xml:space="preserve">Claims related to investigations for potential fraud, waste or abuse are not included in this measurement. </w:t>
      </w:r>
    </w:p>
    <w:p w14:paraId="58468C50" w14:textId="56FFD692" w:rsidR="00632F56" w:rsidRDefault="00632F56" w:rsidP="00711D92">
      <w:pPr>
        <w:pStyle w:val="ListParagraph"/>
        <w:numPr>
          <w:ilvl w:val="0"/>
          <w:numId w:val="11"/>
        </w:numPr>
        <w:contextualSpacing w:val="0"/>
      </w:pPr>
      <w:r>
        <w:t xml:space="preserve">For purposes of determining compliance with this PG and for determining any financial consequences, Insurer shall report the percentage of paper claims processed within twenty (20) Calendar Days. Performance reported in any other manner, including the </w:t>
      </w:r>
      <w:r>
        <w:lastRenderedPageBreak/>
        <w:t>number of days to process ninety percent (90%) of paper claims is insufficient to meet the requirements of this PG.</w:t>
      </w:r>
    </w:p>
    <w:p w14:paraId="6A05074B" w14:textId="106CAAFB" w:rsidR="00711D92" w:rsidRPr="004A30C2" w:rsidRDefault="00711D92" w:rsidP="00711D92">
      <w:pPr>
        <w:pStyle w:val="ListParagraph"/>
        <w:numPr>
          <w:ilvl w:val="0"/>
          <w:numId w:val="11"/>
        </w:numPr>
        <w:contextualSpacing w:val="0"/>
      </w:pPr>
      <w:r>
        <w:rPr>
          <w:rFonts w:cstheme="minorHAnsi"/>
        </w:rPr>
        <w:t>Financial Consequences</w:t>
      </w:r>
      <w:r w:rsidRPr="00EB49FF">
        <w:rPr>
          <w:rFonts w:cstheme="minorHAnsi"/>
        </w:rPr>
        <w:t xml:space="preserve"> </w:t>
      </w:r>
      <w:r w:rsidR="004435F8">
        <w:rPr>
          <w:rFonts w:cstheme="minorHAnsi"/>
        </w:rPr>
        <w:t>shall be</w:t>
      </w:r>
      <w:r w:rsidRPr="00EB49FF">
        <w:rPr>
          <w:rFonts w:cstheme="minorHAnsi"/>
        </w:rPr>
        <w:t xml:space="preserve"> calculated as the difference between the guarantee and the</w:t>
      </w:r>
      <w:r>
        <w:rPr>
          <w:rFonts w:cstheme="minorHAnsi"/>
        </w:rPr>
        <w:t xml:space="preserve"> actual result, multiplied by </w:t>
      </w:r>
      <w:r w:rsidR="005A07EF">
        <w:rPr>
          <w:rFonts w:cstheme="minorHAnsi"/>
        </w:rPr>
        <w:t>one thousand dollars ($1,000)</w:t>
      </w:r>
      <w:r w:rsidRPr="00EB49FF">
        <w:rPr>
          <w:rFonts w:cstheme="minorHAnsi"/>
        </w:rPr>
        <w:t>.</w:t>
      </w:r>
    </w:p>
    <w:p w14:paraId="39FE746C" w14:textId="30E8A444" w:rsidR="00062F51" w:rsidRPr="00711D92" w:rsidRDefault="00062F51" w:rsidP="00062F51">
      <w:r w:rsidRPr="009E6200">
        <w:rPr>
          <w:rFonts w:cstheme="minorHAnsi"/>
          <w:u w:val="single"/>
        </w:rPr>
        <w:t>Relate</w:t>
      </w:r>
      <w:r>
        <w:rPr>
          <w:rFonts w:cstheme="minorHAnsi"/>
          <w:u w:val="single"/>
        </w:rPr>
        <w:t>d Contract Reference:</w:t>
      </w:r>
      <w:r>
        <w:t xml:space="preserve"> Section 24</w:t>
      </w:r>
    </w:p>
    <w:p w14:paraId="5DF5AC33" w14:textId="77777777" w:rsidR="00AA5925" w:rsidRPr="009A6846" w:rsidRDefault="00AA5925" w:rsidP="000A3C15">
      <w:pPr>
        <w:pStyle w:val="ListParagraph"/>
        <w:numPr>
          <w:ilvl w:val="0"/>
          <w:numId w:val="1"/>
        </w:numPr>
      </w:pPr>
      <w:r>
        <w:rPr>
          <w:b/>
        </w:rPr>
        <w:t>Claims Payment</w:t>
      </w:r>
      <w:r w:rsidR="00232434" w:rsidRPr="00232434">
        <w:rPr>
          <w:b/>
        </w:rPr>
        <w:t xml:space="preserve"> </w:t>
      </w:r>
      <w:r w:rsidR="00232434">
        <w:rPr>
          <w:b/>
        </w:rPr>
        <w:t>Financial Accuracy</w:t>
      </w:r>
    </w:p>
    <w:p w14:paraId="34DC0635" w14:textId="27F3E6A4" w:rsidR="009A6846" w:rsidRDefault="003B24AB" w:rsidP="00861E25">
      <w:pPr>
        <w:rPr>
          <w:rFonts w:cstheme="minorHAnsi"/>
        </w:rPr>
      </w:pPr>
      <w:r>
        <w:rPr>
          <w:rFonts w:cstheme="minorHAnsi"/>
        </w:rPr>
        <w:t xml:space="preserve">Ninety-nine percent (99%) of claims Insurer audits in </w:t>
      </w:r>
      <w:r w:rsidR="001430E2">
        <w:rPr>
          <w:rFonts w:cstheme="minorHAnsi"/>
        </w:rPr>
        <w:t xml:space="preserve">a statistically valid quarterly </w:t>
      </w:r>
      <w:proofErr w:type="gramStart"/>
      <w:r w:rsidR="001430E2">
        <w:rPr>
          <w:rFonts w:cstheme="minorHAnsi"/>
        </w:rPr>
        <w:t>audit</w:t>
      </w:r>
      <w:r w:rsidR="0094455D">
        <w:rPr>
          <w:rFonts w:cstheme="minorHAnsi"/>
        </w:rPr>
        <w:t xml:space="preserve"> </w:t>
      </w:r>
      <w:r w:rsidR="00A004BF">
        <w:rPr>
          <w:rFonts w:cstheme="minorHAnsi"/>
        </w:rPr>
        <w:t xml:space="preserve"> </w:t>
      </w:r>
      <w:r w:rsidR="0094455D">
        <w:rPr>
          <w:rFonts w:cstheme="minorHAnsi"/>
        </w:rPr>
        <w:t>of</w:t>
      </w:r>
      <w:proofErr w:type="gramEnd"/>
      <w:r w:rsidR="0094455D">
        <w:rPr>
          <w:rFonts w:cstheme="minorHAnsi"/>
        </w:rPr>
        <w:t xml:space="preserve"> Florida Healthy Kids claims</w:t>
      </w:r>
      <w:r>
        <w:rPr>
          <w:rFonts w:cstheme="minorHAnsi"/>
        </w:rPr>
        <w:t xml:space="preserve"> </w:t>
      </w:r>
      <w:r w:rsidR="00A004BF">
        <w:rPr>
          <w:rFonts w:cstheme="minorHAnsi"/>
        </w:rPr>
        <w:t xml:space="preserve">using representative sampling </w:t>
      </w:r>
      <w:r>
        <w:rPr>
          <w:rFonts w:cstheme="minorHAnsi"/>
        </w:rPr>
        <w:t>shall be free from financial errors.</w:t>
      </w:r>
    </w:p>
    <w:p w14:paraId="6FFAE167" w14:textId="63FCA966" w:rsidR="003B24AB" w:rsidRDefault="00A07643" w:rsidP="003B24AB">
      <w:r>
        <w:rPr>
          <w:rFonts w:cstheme="minorHAnsi"/>
          <w:u w:val="single"/>
        </w:rPr>
        <w:t>Financial Consequences</w:t>
      </w:r>
      <w:r w:rsidR="003B24AB">
        <w:rPr>
          <w:rFonts w:cstheme="minorHAnsi"/>
          <w:u w:val="single"/>
        </w:rPr>
        <w:t>:</w:t>
      </w:r>
      <w:r w:rsidR="003B24AB" w:rsidRPr="005F7249">
        <w:t xml:space="preserve"> </w:t>
      </w:r>
      <w:r w:rsidR="005A07EF">
        <w:t>one thousand dollars ($1,000)</w:t>
      </w:r>
      <w:r w:rsidR="003B24AB">
        <w:t xml:space="preserve"> per percentage point below guarantee.</w:t>
      </w:r>
    </w:p>
    <w:p w14:paraId="06A60F8D" w14:textId="77777777" w:rsidR="003B24AB" w:rsidRDefault="003B24AB" w:rsidP="003B24AB">
      <w:pPr>
        <w:rPr>
          <w:u w:val="single"/>
        </w:rPr>
      </w:pPr>
      <w:r>
        <w:rPr>
          <w:u w:val="single"/>
        </w:rPr>
        <w:t>Calculation Methodology</w:t>
      </w:r>
    </w:p>
    <w:p w14:paraId="2BAF53B0" w14:textId="18DF35B7" w:rsidR="003B24AB" w:rsidRDefault="009A494F" w:rsidP="00861E25">
      <w:pPr>
        <w:pStyle w:val="ListParagraph"/>
        <w:numPr>
          <w:ilvl w:val="0"/>
          <w:numId w:val="12"/>
        </w:numPr>
        <w:contextualSpacing w:val="0"/>
      </w:pPr>
      <w:r>
        <w:t xml:space="preserve">Financial accuracy </w:t>
      </w:r>
      <w:r w:rsidR="004435F8">
        <w:t>shall be</w:t>
      </w:r>
      <w:r>
        <w:t xml:space="preserve"> measured as (the number of claims free from financial error divided by the number of claims in the audit sample) multiplied by (the number of claims in the strata population divided by the number of claims in the population). </w:t>
      </w:r>
    </w:p>
    <w:p w14:paraId="518C7195" w14:textId="4996390F" w:rsidR="0087613D" w:rsidRPr="0087613D" w:rsidRDefault="0087613D" w:rsidP="008C32B6">
      <w:pPr>
        <w:pStyle w:val="ListParagraph"/>
        <w:numPr>
          <w:ilvl w:val="0"/>
          <w:numId w:val="12"/>
        </w:numPr>
        <w:contextualSpacing w:val="0"/>
      </w:pPr>
      <w:r>
        <w:t>For purposes of determining compliance with this PG and for determining any financial consequences, Insurer shall report the percentage of claims free from financial error. Performance reported in any other manner, including the percentage of paid dollars that were for claims free from financial error is insufficient to meet the requirements of this PG.</w:t>
      </w:r>
    </w:p>
    <w:p w14:paraId="4D9C7B7E" w14:textId="37A1B43E" w:rsidR="008C32B6" w:rsidRPr="008C32B6" w:rsidRDefault="00A07643" w:rsidP="008C32B6">
      <w:pPr>
        <w:pStyle w:val="ListParagraph"/>
        <w:numPr>
          <w:ilvl w:val="0"/>
          <w:numId w:val="12"/>
        </w:numPr>
        <w:contextualSpacing w:val="0"/>
      </w:pPr>
      <w:r>
        <w:rPr>
          <w:rFonts w:cstheme="minorHAnsi"/>
        </w:rPr>
        <w:t>Financial Consequences</w:t>
      </w:r>
      <w:r w:rsidR="00CE4B59" w:rsidRPr="00EB49FF">
        <w:rPr>
          <w:rFonts w:cstheme="minorHAnsi"/>
        </w:rPr>
        <w:t xml:space="preserve"> </w:t>
      </w:r>
      <w:r w:rsidR="004435F8">
        <w:rPr>
          <w:rFonts w:cstheme="minorHAnsi"/>
        </w:rPr>
        <w:t>shall be</w:t>
      </w:r>
      <w:r w:rsidR="00CE4B59" w:rsidRPr="00EB49FF">
        <w:rPr>
          <w:rFonts w:cstheme="minorHAnsi"/>
        </w:rPr>
        <w:t xml:space="preserve"> calculated as the difference between the guarantee and the</w:t>
      </w:r>
      <w:r w:rsidR="00CE4B59">
        <w:rPr>
          <w:rFonts w:cstheme="minorHAnsi"/>
        </w:rPr>
        <w:t xml:space="preserve"> actual result, multiplied by </w:t>
      </w:r>
      <w:r w:rsidR="005A07EF">
        <w:rPr>
          <w:rFonts w:cstheme="minorHAnsi"/>
        </w:rPr>
        <w:t>one thousand dollars ($1,000)</w:t>
      </w:r>
      <w:r w:rsidR="00CE4B59">
        <w:rPr>
          <w:rFonts w:cstheme="minorHAnsi"/>
        </w:rPr>
        <w:t>.</w:t>
      </w:r>
    </w:p>
    <w:p w14:paraId="0818B57D" w14:textId="6C31C8C6" w:rsidR="00370CE0" w:rsidRPr="005740D2" w:rsidRDefault="00370CE0" w:rsidP="00370CE0">
      <w:r w:rsidRPr="009E6200">
        <w:rPr>
          <w:rFonts w:cstheme="minorHAnsi"/>
          <w:u w:val="single"/>
        </w:rPr>
        <w:t>Relate</w:t>
      </w:r>
      <w:r>
        <w:rPr>
          <w:rFonts w:cstheme="minorHAnsi"/>
          <w:u w:val="single"/>
        </w:rPr>
        <w:t>d Contract Reference:</w:t>
      </w:r>
      <w:r>
        <w:t xml:space="preserve"> Section 12</w:t>
      </w:r>
    </w:p>
    <w:p w14:paraId="780481EB" w14:textId="77777777" w:rsidR="005740D2" w:rsidRPr="005740D2" w:rsidRDefault="005740D2" w:rsidP="005740D2">
      <w:pPr>
        <w:pStyle w:val="ListParagraph"/>
        <w:numPr>
          <w:ilvl w:val="0"/>
          <w:numId w:val="1"/>
        </w:numPr>
      </w:pPr>
      <w:r>
        <w:rPr>
          <w:b/>
        </w:rPr>
        <w:t>Non-financial Claims Processing</w:t>
      </w:r>
      <w:r w:rsidR="005B6D68">
        <w:rPr>
          <w:b/>
        </w:rPr>
        <w:t xml:space="preserve"> Accuracy</w:t>
      </w:r>
    </w:p>
    <w:p w14:paraId="5FF8FC72" w14:textId="184A5028" w:rsidR="005740D2" w:rsidRDefault="000C094E" w:rsidP="000C094E">
      <w:pPr>
        <w:rPr>
          <w:rFonts w:cstheme="minorHAnsi"/>
        </w:rPr>
      </w:pPr>
      <w:r>
        <w:rPr>
          <w:rFonts w:cstheme="minorHAnsi"/>
        </w:rPr>
        <w:t xml:space="preserve">Ninety-five percent (95%) of claims Insurer audits </w:t>
      </w:r>
      <w:r w:rsidR="00C04452">
        <w:rPr>
          <w:rFonts w:cstheme="minorHAnsi"/>
        </w:rPr>
        <w:t>in a statistically valid quarterly audit of Florida Healthy Kids claims</w:t>
      </w:r>
      <w:r w:rsidR="00A004BF">
        <w:rPr>
          <w:rFonts w:cstheme="minorHAnsi"/>
        </w:rPr>
        <w:t xml:space="preserve"> using representative sampling</w:t>
      </w:r>
      <w:r>
        <w:rPr>
          <w:rFonts w:cstheme="minorHAnsi"/>
        </w:rPr>
        <w:t xml:space="preserve"> shall be free from non-financial errors.</w:t>
      </w:r>
    </w:p>
    <w:p w14:paraId="18B4EA5F" w14:textId="53A694E7" w:rsidR="000C094E" w:rsidRDefault="00A07643" w:rsidP="000C094E">
      <w:r>
        <w:rPr>
          <w:rFonts w:cstheme="minorHAnsi"/>
          <w:u w:val="single"/>
        </w:rPr>
        <w:t>Financial Consequences</w:t>
      </w:r>
      <w:r w:rsidR="000C094E">
        <w:rPr>
          <w:rFonts w:cstheme="minorHAnsi"/>
          <w:u w:val="single"/>
        </w:rPr>
        <w:t>:</w:t>
      </w:r>
      <w:r w:rsidR="000C094E" w:rsidRPr="005F7249">
        <w:t xml:space="preserve"> </w:t>
      </w:r>
      <w:r w:rsidR="005A07EF">
        <w:t>one thousand dollars ($1,000)</w:t>
      </w:r>
      <w:r w:rsidR="000C094E">
        <w:t xml:space="preserve"> per percentage point below guarantee.</w:t>
      </w:r>
    </w:p>
    <w:p w14:paraId="6F900312" w14:textId="77777777" w:rsidR="000C094E" w:rsidRDefault="000C094E" w:rsidP="000C094E">
      <w:pPr>
        <w:rPr>
          <w:u w:val="single"/>
        </w:rPr>
      </w:pPr>
      <w:r>
        <w:rPr>
          <w:u w:val="single"/>
        </w:rPr>
        <w:t>Calculation Methodology</w:t>
      </w:r>
    </w:p>
    <w:p w14:paraId="02D2AB1A" w14:textId="7B9BE0BF" w:rsidR="000C094E" w:rsidRDefault="000C094E" w:rsidP="000C094E">
      <w:pPr>
        <w:pStyle w:val="ListParagraph"/>
        <w:numPr>
          <w:ilvl w:val="0"/>
          <w:numId w:val="12"/>
        </w:numPr>
        <w:contextualSpacing w:val="0"/>
      </w:pPr>
      <w:r>
        <w:t xml:space="preserve">Non-financial claims processing accuracy </w:t>
      </w:r>
      <w:r w:rsidR="004435F8">
        <w:t>shall be</w:t>
      </w:r>
      <w:r>
        <w:t xml:space="preserve"> measured as (the number of claims free from non-financial error divided by the number of claims in the audit sample) multiplied by (the number of claims in the strata population divided by the number of claims in the population). </w:t>
      </w:r>
    </w:p>
    <w:p w14:paraId="260A0283" w14:textId="5148EF6E" w:rsidR="00E314F4" w:rsidRDefault="00E314F4" w:rsidP="000C094E">
      <w:pPr>
        <w:pStyle w:val="ListParagraph"/>
        <w:numPr>
          <w:ilvl w:val="0"/>
          <w:numId w:val="12"/>
        </w:numPr>
        <w:contextualSpacing w:val="0"/>
      </w:pPr>
      <w:r>
        <w:lastRenderedPageBreak/>
        <w:t>For purposes of determining compliance with this PG and for determining any financial consequences, Insurer shall report the percentage of claims free from non-financial error. Performance reported in any other manner, including the percentage of paid dollars that were for claims free from non-financial error is insufficient to meet the requirements of this PG.</w:t>
      </w:r>
    </w:p>
    <w:p w14:paraId="1769779A" w14:textId="2019E55F" w:rsidR="000C094E" w:rsidRPr="00F32796" w:rsidRDefault="00A07643" w:rsidP="000C094E">
      <w:pPr>
        <w:pStyle w:val="ListParagraph"/>
        <w:numPr>
          <w:ilvl w:val="0"/>
          <w:numId w:val="12"/>
        </w:numPr>
        <w:contextualSpacing w:val="0"/>
      </w:pPr>
      <w:r>
        <w:rPr>
          <w:rFonts w:cstheme="minorHAnsi"/>
        </w:rPr>
        <w:t>Financial Consequences</w:t>
      </w:r>
      <w:r w:rsidR="000C094E" w:rsidRPr="00EB49FF">
        <w:rPr>
          <w:rFonts w:cstheme="minorHAnsi"/>
        </w:rPr>
        <w:t xml:space="preserve"> </w:t>
      </w:r>
      <w:r w:rsidR="004435F8">
        <w:rPr>
          <w:rFonts w:cstheme="minorHAnsi"/>
        </w:rPr>
        <w:t>shall be</w:t>
      </w:r>
      <w:r w:rsidR="000C094E" w:rsidRPr="00EB49FF">
        <w:rPr>
          <w:rFonts w:cstheme="minorHAnsi"/>
        </w:rPr>
        <w:t xml:space="preserve"> calculated as the difference between the guarantee and the</w:t>
      </w:r>
      <w:r w:rsidR="000C094E">
        <w:rPr>
          <w:rFonts w:cstheme="minorHAnsi"/>
        </w:rPr>
        <w:t xml:space="preserve"> actual result, multiplied by </w:t>
      </w:r>
      <w:r w:rsidR="005A07EF">
        <w:rPr>
          <w:rFonts w:cstheme="minorHAnsi"/>
        </w:rPr>
        <w:t>one thousand dollars ($1,000)</w:t>
      </w:r>
      <w:r w:rsidR="000C094E">
        <w:rPr>
          <w:rFonts w:cstheme="minorHAnsi"/>
        </w:rPr>
        <w:t>.</w:t>
      </w:r>
    </w:p>
    <w:p w14:paraId="2C7572A5" w14:textId="1BA5643A" w:rsidR="00370CE0" w:rsidRPr="00AA5925" w:rsidRDefault="00370CE0" w:rsidP="00370CE0">
      <w:r w:rsidRPr="009E6200">
        <w:rPr>
          <w:rFonts w:cstheme="minorHAnsi"/>
          <w:u w:val="single"/>
        </w:rPr>
        <w:t>Relate</w:t>
      </w:r>
      <w:r>
        <w:rPr>
          <w:rFonts w:cstheme="minorHAnsi"/>
          <w:u w:val="single"/>
        </w:rPr>
        <w:t>d Contract Reference:</w:t>
      </w:r>
      <w:r>
        <w:t xml:space="preserve"> Section 12</w:t>
      </w:r>
    </w:p>
    <w:p w14:paraId="441E0857" w14:textId="77777777" w:rsidR="00C748D7" w:rsidRPr="00C748D7" w:rsidRDefault="00C748D7" w:rsidP="000A3C15">
      <w:pPr>
        <w:pStyle w:val="ListParagraph"/>
        <w:numPr>
          <w:ilvl w:val="0"/>
          <w:numId w:val="1"/>
        </w:numPr>
      </w:pPr>
      <w:r>
        <w:rPr>
          <w:b/>
        </w:rPr>
        <w:t>Provider Overpayment Recovery</w:t>
      </w:r>
    </w:p>
    <w:p w14:paraId="4F32D0B0" w14:textId="77777777" w:rsidR="00C748D7" w:rsidRDefault="001962E8" w:rsidP="00C748D7">
      <w:r>
        <w:t xml:space="preserve">Insurer shall recover eighty percent (80%) of overpayments to Providers within sixty (60) Calendar Days of discovery. </w:t>
      </w:r>
    </w:p>
    <w:p w14:paraId="303867BB" w14:textId="20A1DE2C" w:rsidR="00F76C2D" w:rsidRDefault="00A07643" w:rsidP="00F76C2D">
      <w:r>
        <w:rPr>
          <w:rFonts w:cstheme="minorHAnsi"/>
          <w:u w:val="single"/>
        </w:rPr>
        <w:t>Financial Consequences</w:t>
      </w:r>
      <w:r w:rsidR="00F76C2D">
        <w:rPr>
          <w:rFonts w:cstheme="minorHAnsi"/>
          <w:u w:val="single"/>
        </w:rPr>
        <w:t>:</w:t>
      </w:r>
      <w:r w:rsidR="00F76C2D" w:rsidRPr="005F7249">
        <w:t xml:space="preserve"> </w:t>
      </w:r>
      <w:r w:rsidR="005A07EF">
        <w:t>one thousand dollars ($1,000)</w:t>
      </w:r>
      <w:r w:rsidR="00F76C2D">
        <w:t xml:space="preserve"> per percentage point below guarantee.</w:t>
      </w:r>
    </w:p>
    <w:p w14:paraId="7EF03317" w14:textId="77777777" w:rsidR="00F76C2D" w:rsidRDefault="00F76C2D" w:rsidP="00F76C2D">
      <w:pPr>
        <w:rPr>
          <w:u w:val="single"/>
        </w:rPr>
      </w:pPr>
      <w:r>
        <w:rPr>
          <w:u w:val="single"/>
        </w:rPr>
        <w:t>Calculation Methodology</w:t>
      </w:r>
    </w:p>
    <w:p w14:paraId="5FE50878" w14:textId="77777777" w:rsidR="005C5EF9" w:rsidRDefault="008363E3" w:rsidP="00C748D7">
      <w:pPr>
        <w:pStyle w:val="ListParagraph"/>
        <w:numPr>
          <w:ilvl w:val="0"/>
          <w:numId w:val="12"/>
        </w:numPr>
        <w:contextualSpacing w:val="0"/>
      </w:pPr>
      <w:r>
        <w:t>The measurement timeframe begins the date a payment is determined to be a</w:t>
      </w:r>
      <w:r w:rsidR="00F15F4B">
        <w:t>n</w:t>
      </w:r>
      <w:r>
        <w:t xml:space="preserve"> overpayment</w:t>
      </w:r>
      <w:r w:rsidR="005C5EF9">
        <w:t xml:space="preserve"> and ends the date Insurer receives full compensation for the overpaid amount</w:t>
      </w:r>
      <w:r>
        <w:t>.</w:t>
      </w:r>
    </w:p>
    <w:p w14:paraId="7082BB08" w14:textId="77777777" w:rsidR="001962E8" w:rsidRPr="00EA1E0F" w:rsidRDefault="008540FE" w:rsidP="00C748D7">
      <w:pPr>
        <w:pStyle w:val="ListParagraph"/>
        <w:numPr>
          <w:ilvl w:val="0"/>
          <w:numId w:val="12"/>
        </w:numPr>
        <w:contextualSpacing w:val="0"/>
      </w:pPr>
      <w:r>
        <w:rPr>
          <w:rFonts w:cstheme="minorHAnsi"/>
        </w:rPr>
        <w:t xml:space="preserve">When determining the percentage of overpayments recovered timely, the denominator includes all identified overpayments for which the latest acceptable </w:t>
      </w:r>
      <w:r w:rsidR="00EA1E0F">
        <w:rPr>
          <w:rFonts w:cstheme="minorHAnsi"/>
        </w:rPr>
        <w:t>recovery</w:t>
      </w:r>
      <w:r>
        <w:rPr>
          <w:rFonts w:cstheme="minorHAnsi"/>
        </w:rPr>
        <w:t xml:space="preserve"> date fell within the reporting period regardless of when the </w:t>
      </w:r>
      <w:r w:rsidR="00BD19A5">
        <w:rPr>
          <w:rFonts w:cstheme="minorHAnsi"/>
        </w:rPr>
        <w:t xml:space="preserve">overpayment was </w:t>
      </w:r>
      <w:proofErr w:type="gramStart"/>
      <w:r w:rsidR="00BD19A5">
        <w:rPr>
          <w:rFonts w:cstheme="minorHAnsi"/>
        </w:rPr>
        <w:t>actually recovered</w:t>
      </w:r>
      <w:proofErr w:type="gramEnd"/>
      <w:r>
        <w:rPr>
          <w:rFonts w:cstheme="minorHAnsi"/>
        </w:rPr>
        <w:t>.</w:t>
      </w:r>
    </w:p>
    <w:p w14:paraId="624E2122" w14:textId="77777777" w:rsidR="00EA1E0F" w:rsidRPr="006563D6" w:rsidRDefault="00EA1E0F" w:rsidP="00EA1E0F">
      <w:pPr>
        <w:pStyle w:val="ListParagraph"/>
        <w:numPr>
          <w:ilvl w:val="1"/>
          <w:numId w:val="12"/>
        </w:numPr>
        <w:contextualSpacing w:val="0"/>
      </w:pPr>
      <w:r>
        <w:rPr>
          <w:rFonts w:cstheme="minorHAnsi"/>
        </w:rPr>
        <w:t xml:space="preserve">The “latest acceptable recovery date” means sixty (60) Calendar Days from the date the overpayment was identified. </w:t>
      </w:r>
    </w:p>
    <w:p w14:paraId="6A59FFAC" w14:textId="77777777" w:rsidR="006563D6" w:rsidRPr="00E74A12" w:rsidRDefault="004B2237" w:rsidP="006563D6">
      <w:pPr>
        <w:pStyle w:val="ListParagraph"/>
        <w:numPr>
          <w:ilvl w:val="0"/>
          <w:numId w:val="12"/>
        </w:numPr>
        <w:contextualSpacing w:val="0"/>
      </w:pPr>
      <w:r>
        <w:rPr>
          <w:rFonts w:cstheme="minorHAnsi"/>
        </w:rPr>
        <w:t>Overpayments recovered by netting the overpaid amount from amounts owed to a Provider may be considered recovered only i</w:t>
      </w:r>
      <w:r w:rsidR="009952E9">
        <w:rPr>
          <w:rFonts w:cstheme="minorHAnsi"/>
        </w:rPr>
        <w:t xml:space="preserve">f payments of funds owed to the Provider sufficient to recover the entire overpaid amount have been fully processed by Insurer. </w:t>
      </w:r>
    </w:p>
    <w:p w14:paraId="2F56241F" w14:textId="55A5B3C3" w:rsidR="00EC2056" w:rsidRPr="00EC2056" w:rsidRDefault="00EC2056" w:rsidP="00E74A12">
      <w:pPr>
        <w:pStyle w:val="ListParagraph"/>
        <w:numPr>
          <w:ilvl w:val="0"/>
          <w:numId w:val="12"/>
        </w:numPr>
        <w:contextualSpacing w:val="0"/>
      </w:pPr>
      <w:r>
        <w:t>For purposes of determining compliance with this PG and for determining any financial consequences, Insurer shall report the percentage of overpayments recovered from Providers within sixty (60) Calendar Days. Performance reported in any other manner, including the number of Calendar Days to recover eighty percent (80%) of Provider overpayments is insufficient to meet the requirements of this PG.</w:t>
      </w:r>
    </w:p>
    <w:p w14:paraId="6BD661E1" w14:textId="005DF394" w:rsidR="00E74A12" w:rsidRPr="006D372B" w:rsidRDefault="00A07643" w:rsidP="00E74A12">
      <w:pPr>
        <w:pStyle w:val="ListParagraph"/>
        <w:numPr>
          <w:ilvl w:val="0"/>
          <w:numId w:val="12"/>
        </w:numPr>
        <w:contextualSpacing w:val="0"/>
      </w:pPr>
      <w:r>
        <w:rPr>
          <w:rFonts w:cstheme="minorHAnsi"/>
        </w:rPr>
        <w:t>Financial Consequences</w:t>
      </w:r>
      <w:r w:rsidR="00E74A12" w:rsidRPr="00EB49FF">
        <w:rPr>
          <w:rFonts w:cstheme="minorHAnsi"/>
        </w:rPr>
        <w:t xml:space="preserve"> </w:t>
      </w:r>
      <w:r w:rsidR="004435F8">
        <w:rPr>
          <w:rFonts w:cstheme="minorHAnsi"/>
        </w:rPr>
        <w:t>shall be</w:t>
      </w:r>
      <w:r w:rsidR="00E74A12" w:rsidRPr="00EB49FF">
        <w:rPr>
          <w:rFonts w:cstheme="minorHAnsi"/>
        </w:rPr>
        <w:t xml:space="preserve"> calculated as the difference between the guarantee and the</w:t>
      </w:r>
      <w:r w:rsidR="00E74A12">
        <w:rPr>
          <w:rFonts w:cstheme="minorHAnsi"/>
        </w:rPr>
        <w:t xml:space="preserve"> actual result, multiplied by </w:t>
      </w:r>
      <w:r w:rsidR="005A07EF">
        <w:rPr>
          <w:rFonts w:cstheme="minorHAnsi"/>
        </w:rPr>
        <w:t>one thousand dollars ($1,000)</w:t>
      </w:r>
      <w:r w:rsidR="00E74A12" w:rsidRPr="00EB49FF">
        <w:rPr>
          <w:rFonts w:cstheme="minorHAnsi"/>
        </w:rPr>
        <w:t>.</w:t>
      </w:r>
    </w:p>
    <w:p w14:paraId="5A3AB232" w14:textId="2EDE36D8" w:rsidR="00A4533E" w:rsidRPr="00C748D7" w:rsidRDefault="00A4533E" w:rsidP="00A4533E">
      <w:r w:rsidRPr="009E6200">
        <w:rPr>
          <w:rFonts w:cstheme="minorHAnsi"/>
          <w:u w:val="single"/>
        </w:rPr>
        <w:t>Relate</w:t>
      </w:r>
      <w:r>
        <w:rPr>
          <w:rFonts w:cstheme="minorHAnsi"/>
          <w:u w:val="single"/>
        </w:rPr>
        <w:t>d Contract Reference:</w:t>
      </w:r>
      <w:r>
        <w:t xml:space="preserve"> Section 24</w:t>
      </w:r>
    </w:p>
    <w:p w14:paraId="1A75E0DD" w14:textId="26086A4D" w:rsidR="009F7F6B" w:rsidRPr="000A3C15" w:rsidRDefault="00B31E9B" w:rsidP="000A3C15">
      <w:pPr>
        <w:pStyle w:val="ListParagraph"/>
        <w:numPr>
          <w:ilvl w:val="0"/>
          <w:numId w:val="1"/>
        </w:numPr>
      </w:pPr>
      <w:r>
        <w:rPr>
          <w:b/>
        </w:rPr>
        <w:lastRenderedPageBreak/>
        <w:t xml:space="preserve">Standard, Non-prescription Drug </w:t>
      </w:r>
      <w:r w:rsidR="000A3C15">
        <w:rPr>
          <w:b/>
        </w:rPr>
        <w:t>Prior Authorization Processing Timeliness</w:t>
      </w:r>
      <w:r>
        <w:rPr>
          <w:b/>
        </w:rPr>
        <w:t xml:space="preserve"> </w:t>
      </w:r>
    </w:p>
    <w:p w14:paraId="374035F5" w14:textId="5936BC41" w:rsidR="000A3C15" w:rsidRDefault="000A5A2B" w:rsidP="000A3C15">
      <w:pPr>
        <w:rPr>
          <w:rFonts w:cstheme="minorHAnsi"/>
        </w:rPr>
      </w:pPr>
      <w:r>
        <w:rPr>
          <w:rFonts w:cstheme="minorHAnsi"/>
        </w:rPr>
        <w:t>Insurer shall</w:t>
      </w:r>
      <w:r w:rsidR="007D66B1">
        <w:rPr>
          <w:rFonts w:cstheme="minorHAnsi"/>
        </w:rPr>
        <w:t xml:space="preserve"> process 100 percent (100%) of all </w:t>
      </w:r>
      <w:r w:rsidR="00B31E9B">
        <w:rPr>
          <w:rFonts w:cstheme="minorHAnsi"/>
        </w:rPr>
        <w:t xml:space="preserve">standard, non-prescription drug </w:t>
      </w:r>
      <w:r w:rsidR="007D66B1">
        <w:rPr>
          <w:rFonts w:cstheme="minorHAnsi"/>
        </w:rPr>
        <w:t xml:space="preserve">prior authorizations within fourteen (14) Calendar </w:t>
      </w:r>
      <w:r w:rsidR="007D66B1" w:rsidRPr="00D01E60">
        <w:rPr>
          <w:rFonts w:cstheme="minorHAnsi"/>
        </w:rPr>
        <w:t>Days</w:t>
      </w:r>
      <w:r w:rsidR="007D66B1">
        <w:rPr>
          <w:rFonts w:cstheme="minorHAnsi"/>
        </w:rPr>
        <w:t>.</w:t>
      </w:r>
    </w:p>
    <w:p w14:paraId="2ADCBFDC" w14:textId="235128F8" w:rsidR="00E24D25" w:rsidRDefault="00A07643" w:rsidP="00E24D25">
      <w:r>
        <w:rPr>
          <w:rFonts w:cstheme="minorHAnsi"/>
          <w:u w:val="single"/>
        </w:rPr>
        <w:t>Financial Consequences</w:t>
      </w:r>
      <w:r w:rsidR="00E24D25">
        <w:rPr>
          <w:rFonts w:cstheme="minorHAnsi"/>
          <w:u w:val="single"/>
        </w:rPr>
        <w:t>:</w:t>
      </w:r>
      <w:r w:rsidR="00E24D25" w:rsidRPr="005F7249">
        <w:t xml:space="preserve"> </w:t>
      </w:r>
      <w:r w:rsidR="005A07EF">
        <w:t>one thousand dollars ($1,000)</w:t>
      </w:r>
      <w:r w:rsidR="00E24D25">
        <w:t xml:space="preserve"> per pe</w:t>
      </w:r>
      <w:r w:rsidR="00F6318D">
        <w:t>rcentage point below guarantee.</w:t>
      </w:r>
    </w:p>
    <w:p w14:paraId="71B917C3" w14:textId="77777777" w:rsidR="00E24D25" w:rsidRDefault="00E24D25" w:rsidP="00E24D25">
      <w:pPr>
        <w:rPr>
          <w:u w:val="single"/>
        </w:rPr>
      </w:pPr>
      <w:r>
        <w:rPr>
          <w:u w:val="single"/>
        </w:rPr>
        <w:t>Calculation Methodology</w:t>
      </w:r>
    </w:p>
    <w:p w14:paraId="64D1808F" w14:textId="77777777" w:rsidR="00E24D25" w:rsidRDefault="00E24D25" w:rsidP="00662052">
      <w:pPr>
        <w:pStyle w:val="ListParagraph"/>
        <w:numPr>
          <w:ilvl w:val="0"/>
          <w:numId w:val="12"/>
        </w:numPr>
        <w:contextualSpacing w:val="0"/>
      </w:pPr>
      <w:r>
        <w:t xml:space="preserve">The measurement begins from the date Insurer receives the request and ends the date Insurer </w:t>
      </w:r>
      <w:r w:rsidR="00B52A04">
        <w:t xml:space="preserve">makes a final decision and communicates such decision to the </w:t>
      </w:r>
      <w:r w:rsidR="005803EB">
        <w:t xml:space="preserve">requesting Provider. </w:t>
      </w:r>
    </w:p>
    <w:p w14:paraId="7D2C5BE3" w14:textId="59248B34" w:rsidR="00B31E9B" w:rsidRDefault="009C440D" w:rsidP="00B31E9B">
      <w:pPr>
        <w:pStyle w:val="ListParagraph"/>
        <w:numPr>
          <w:ilvl w:val="1"/>
          <w:numId w:val="12"/>
        </w:numPr>
        <w:contextualSpacing w:val="0"/>
      </w:pPr>
      <w:r>
        <w:t>Requests for prior authorization pending additional information from the requesting Provider are not included in the measurement</w:t>
      </w:r>
      <w:r w:rsidR="00726D97">
        <w:t xml:space="preserve"> so long as the prior authorization was extended appropriately as described in 42 CFR 438.210</w:t>
      </w:r>
      <w:r>
        <w:t>.</w:t>
      </w:r>
    </w:p>
    <w:p w14:paraId="543DDD5E" w14:textId="295E832E" w:rsidR="00C1381E" w:rsidRDefault="00B31E9B" w:rsidP="00B31E9B">
      <w:pPr>
        <w:pStyle w:val="ListParagraph"/>
        <w:numPr>
          <w:ilvl w:val="1"/>
          <w:numId w:val="12"/>
        </w:numPr>
        <w:contextualSpacing w:val="0"/>
      </w:pPr>
      <w:r>
        <w:t>Prior authorizations for which Insurer extended beyond the fourteen (14) Calendar Days as permitted by law are excluded from this measurement</w:t>
      </w:r>
      <w:r w:rsidR="007D4206">
        <w:t xml:space="preserve">. </w:t>
      </w:r>
      <w:r w:rsidR="009C440D">
        <w:t xml:space="preserve"> </w:t>
      </w:r>
    </w:p>
    <w:p w14:paraId="68D27112" w14:textId="74392E7B" w:rsidR="0087127E" w:rsidRPr="0087127E" w:rsidRDefault="0087127E" w:rsidP="00AA5925">
      <w:pPr>
        <w:pStyle w:val="ListParagraph"/>
        <w:numPr>
          <w:ilvl w:val="0"/>
          <w:numId w:val="12"/>
        </w:numPr>
        <w:contextualSpacing w:val="0"/>
      </w:pPr>
      <w:r>
        <w:t xml:space="preserve">For purposes of determining compliance with this PG and for determining any financial consequences, Insurer shall report the percentage of prior authorizations processed within </w:t>
      </w:r>
      <w:r>
        <w:rPr>
          <w:rFonts w:cstheme="minorHAnsi"/>
        </w:rPr>
        <w:t>fourteen (14)</w:t>
      </w:r>
      <w:r>
        <w:t xml:space="preserve"> Calendar Days. Performance reported in any other manner, including the number of Calendar Days to process one hundred percent (100%) of prior authorizations is insufficient to meet the requirements of this PG.</w:t>
      </w:r>
    </w:p>
    <w:p w14:paraId="0558FAE3" w14:textId="562F1F59" w:rsidR="00900765" w:rsidRPr="007A33B3" w:rsidRDefault="00A07643" w:rsidP="00AA5925">
      <w:pPr>
        <w:pStyle w:val="ListParagraph"/>
        <w:numPr>
          <w:ilvl w:val="0"/>
          <w:numId w:val="12"/>
        </w:numPr>
        <w:contextualSpacing w:val="0"/>
      </w:pPr>
      <w:r>
        <w:rPr>
          <w:rFonts w:cstheme="minorHAnsi"/>
        </w:rPr>
        <w:t>Financial Consequences</w:t>
      </w:r>
      <w:r w:rsidR="00D12C17" w:rsidRPr="00EB49FF">
        <w:rPr>
          <w:rFonts w:cstheme="minorHAnsi"/>
        </w:rPr>
        <w:t xml:space="preserve"> </w:t>
      </w:r>
      <w:r w:rsidR="004435F8">
        <w:rPr>
          <w:rFonts w:cstheme="minorHAnsi"/>
        </w:rPr>
        <w:t>shall be</w:t>
      </w:r>
      <w:r w:rsidR="00D12C17" w:rsidRPr="00EB49FF">
        <w:rPr>
          <w:rFonts w:cstheme="minorHAnsi"/>
        </w:rPr>
        <w:t xml:space="preserve"> calculated as the difference between the guarantee and the</w:t>
      </w:r>
      <w:r w:rsidR="00D12C17">
        <w:rPr>
          <w:rFonts w:cstheme="minorHAnsi"/>
        </w:rPr>
        <w:t xml:space="preserve"> actual result, multiplied by </w:t>
      </w:r>
      <w:r w:rsidR="005A07EF">
        <w:rPr>
          <w:rFonts w:cstheme="minorHAnsi"/>
        </w:rPr>
        <w:t>one thousand dollars ($1,000)</w:t>
      </w:r>
      <w:r w:rsidR="00D12C17" w:rsidRPr="00EB49FF">
        <w:rPr>
          <w:rFonts w:cstheme="minorHAnsi"/>
        </w:rPr>
        <w:t>.</w:t>
      </w:r>
    </w:p>
    <w:p w14:paraId="110C9B5D" w14:textId="60CED9B3" w:rsidR="004E1EAB" w:rsidRDefault="004E1EAB" w:rsidP="004E1EAB">
      <w:r w:rsidRPr="009E6200">
        <w:rPr>
          <w:rFonts w:cstheme="minorHAnsi"/>
          <w:u w:val="single"/>
        </w:rPr>
        <w:t>Relate</w:t>
      </w:r>
      <w:r>
        <w:rPr>
          <w:rFonts w:cstheme="minorHAnsi"/>
          <w:u w:val="single"/>
        </w:rPr>
        <w:t>d Contract Reference:</w:t>
      </w:r>
      <w:r>
        <w:t xml:space="preserve"> Section 26</w:t>
      </w:r>
    </w:p>
    <w:p w14:paraId="02428BD0" w14:textId="36569F4A" w:rsidR="00726D97" w:rsidRPr="000A3C15" w:rsidRDefault="00726D97" w:rsidP="00726D97">
      <w:pPr>
        <w:pStyle w:val="ListParagraph"/>
        <w:numPr>
          <w:ilvl w:val="0"/>
          <w:numId w:val="1"/>
        </w:numPr>
      </w:pPr>
      <w:r>
        <w:rPr>
          <w:b/>
        </w:rPr>
        <w:t xml:space="preserve">Expedited, Non-prescription Drug Prior Authorization Processing Timeliness </w:t>
      </w:r>
    </w:p>
    <w:p w14:paraId="4DFA6442" w14:textId="6147FD17" w:rsidR="00726D97" w:rsidRDefault="00726D97" w:rsidP="00726D97">
      <w:pPr>
        <w:rPr>
          <w:rFonts w:cstheme="minorHAnsi"/>
        </w:rPr>
      </w:pPr>
      <w:r>
        <w:rPr>
          <w:rFonts w:cstheme="minorHAnsi"/>
        </w:rPr>
        <w:t>Insurer shall process 100 percent (100%) of all expedited, non-prescription drug prior authorizations within seventy-two (72) hours.</w:t>
      </w:r>
    </w:p>
    <w:p w14:paraId="19E50C93" w14:textId="77777777" w:rsidR="00726D97" w:rsidRDefault="00726D97" w:rsidP="00726D97">
      <w:r>
        <w:rPr>
          <w:rFonts w:cstheme="minorHAnsi"/>
          <w:u w:val="single"/>
        </w:rPr>
        <w:t>Financial Consequences:</w:t>
      </w:r>
      <w:r w:rsidRPr="005F7249">
        <w:t xml:space="preserve"> </w:t>
      </w:r>
      <w:r>
        <w:t>one thousand dollars ($1,000) per percentage point below guarantee.</w:t>
      </w:r>
    </w:p>
    <w:p w14:paraId="032030A8" w14:textId="77777777" w:rsidR="00726D97" w:rsidRDefault="00726D97" w:rsidP="00726D97">
      <w:pPr>
        <w:rPr>
          <w:u w:val="single"/>
        </w:rPr>
      </w:pPr>
      <w:r>
        <w:rPr>
          <w:u w:val="single"/>
        </w:rPr>
        <w:t>Calculation Methodology</w:t>
      </w:r>
    </w:p>
    <w:p w14:paraId="04F75AED" w14:textId="3D3BEE1F" w:rsidR="00726D97" w:rsidRDefault="00726D97" w:rsidP="00726D97">
      <w:pPr>
        <w:pStyle w:val="ListParagraph"/>
        <w:numPr>
          <w:ilvl w:val="0"/>
          <w:numId w:val="12"/>
        </w:numPr>
        <w:contextualSpacing w:val="0"/>
      </w:pPr>
      <w:r>
        <w:t xml:space="preserve">The measurement begins from the date and time Insurer receives the request and ends the date and time Insurer makes a final decision and communicates such decision to the requesting Provider. </w:t>
      </w:r>
    </w:p>
    <w:p w14:paraId="2067EAED" w14:textId="065B4EDC" w:rsidR="00726D97" w:rsidRDefault="00726D97" w:rsidP="00726D97">
      <w:pPr>
        <w:pStyle w:val="ListParagraph"/>
        <w:numPr>
          <w:ilvl w:val="1"/>
          <w:numId w:val="12"/>
        </w:numPr>
        <w:contextualSpacing w:val="0"/>
      </w:pPr>
      <w:r>
        <w:t>Requests for prior authorization pending additional information from the requesting Provider are not included in the measurement</w:t>
      </w:r>
      <w:r w:rsidRPr="00726D97">
        <w:t xml:space="preserve"> </w:t>
      </w:r>
      <w:r>
        <w:t>so long as the prior authorization was extended appropriately as described in 42 CFR 438.210.</w:t>
      </w:r>
    </w:p>
    <w:p w14:paraId="4DAC52BD" w14:textId="24E67148" w:rsidR="00726D97" w:rsidRDefault="00726D97" w:rsidP="00726D97">
      <w:pPr>
        <w:pStyle w:val="ListParagraph"/>
        <w:numPr>
          <w:ilvl w:val="1"/>
          <w:numId w:val="12"/>
        </w:numPr>
        <w:contextualSpacing w:val="0"/>
      </w:pPr>
      <w:r>
        <w:lastRenderedPageBreak/>
        <w:t xml:space="preserve">Prior authorizations for which Insurer extended beyond the </w:t>
      </w:r>
      <w:r w:rsidR="00765CB5">
        <w:rPr>
          <w:rFonts w:cstheme="minorHAnsi"/>
        </w:rPr>
        <w:t>seventy-two (72) hours</w:t>
      </w:r>
      <w:r>
        <w:t xml:space="preserve"> as permitted by law are excluded from this measurement.  </w:t>
      </w:r>
    </w:p>
    <w:p w14:paraId="66EF06A5" w14:textId="15B4426C" w:rsidR="00726D97" w:rsidRPr="0087127E" w:rsidRDefault="00726D97" w:rsidP="00726D97">
      <w:pPr>
        <w:pStyle w:val="ListParagraph"/>
        <w:numPr>
          <w:ilvl w:val="0"/>
          <w:numId w:val="12"/>
        </w:numPr>
        <w:contextualSpacing w:val="0"/>
      </w:pPr>
      <w:r>
        <w:t xml:space="preserve">For purposes of determining compliance with this PG and for determining any financial consequences, Insurer shall report the percentage of prior authorizations processed within </w:t>
      </w:r>
      <w:r w:rsidR="00C43B00">
        <w:rPr>
          <w:rFonts w:cstheme="minorHAnsi"/>
        </w:rPr>
        <w:t>seventy-two (72) hours</w:t>
      </w:r>
      <w:r>
        <w:t>. Performance reported in any other manner, including the number of Calendar Days</w:t>
      </w:r>
      <w:r w:rsidR="00890208">
        <w:t xml:space="preserve"> or hours</w:t>
      </w:r>
      <w:r>
        <w:t xml:space="preserve"> to process one hundred percent (100%) of prior authorizations is insufficient to meet the requirements of this PG.</w:t>
      </w:r>
    </w:p>
    <w:p w14:paraId="7ADED256" w14:textId="77777777" w:rsidR="00726D97" w:rsidRPr="007A33B3" w:rsidRDefault="00726D97" w:rsidP="00726D97">
      <w:pPr>
        <w:pStyle w:val="ListParagraph"/>
        <w:numPr>
          <w:ilvl w:val="0"/>
          <w:numId w:val="12"/>
        </w:numPr>
        <w:contextualSpacing w:val="0"/>
      </w:pPr>
      <w:r>
        <w:rPr>
          <w:rFonts w:cstheme="minorHAnsi"/>
        </w:rPr>
        <w:t>Financial Consequences</w:t>
      </w:r>
      <w:r w:rsidRPr="00EB49FF">
        <w:rPr>
          <w:rFonts w:cstheme="minorHAnsi"/>
        </w:rPr>
        <w:t xml:space="preserve"> </w:t>
      </w:r>
      <w:r>
        <w:rPr>
          <w:rFonts w:cstheme="minorHAnsi"/>
        </w:rPr>
        <w:t>shall be</w:t>
      </w:r>
      <w:r w:rsidRPr="00EB49FF">
        <w:rPr>
          <w:rFonts w:cstheme="minorHAnsi"/>
        </w:rPr>
        <w:t xml:space="preserve"> calculated as the difference between the guarantee and the</w:t>
      </w:r>
      <w:r>
        <w:rPr>
          <w:rFonts w:cstheme="minorHAnsi"/>
        </w:rPr>
        <w:t xml:space="preserve"> actual result, multiplied by one thousand dollars ($1,000)</w:t>
      </w:r>
      <w:r w:rsidRPr="00EB49FF">
        <w:rPr>
          <w:rFonts w:cstheme="minorHAnsi"/>
        </w:rPr>
        <w:t>.</w:t>
      </w:r>
    </w:p>
    <w:p w14:paraId="7A82A049" w14:textId="30892B48" w:rsidR="00726D97" w:rsidRDefault="00726D97" w:rsidP="004E1EAB">
      <w:r w:rsidRPr="009E6200">
        <w:rPr>
          <w:rFonts w:cstheme="minorHAnsi"/>
          <w:u w:val="single"/>
        </w:rPr>
        <w:t>Relate</w:t>
      </w:r>
      <w:r>
        <w:rPr>
          <w:rFonts w:cstheme="minorHAnsi"/>
          <w:u w:val="single"/>
        </w:rPr>
        <w:t>d Contract Reference:</w:t>
      </w:r>
      <w:r>
        <w:t xml:space="preserve"> Section 26</w:t>
      </w:r>
    </w:p>
    <w:p w14:paraId="6367D34D" w14:textId="420CBE10" w:rsidR="006B6246" w:rsidRPr="000A3C15" w:rsidRDefault="006B6246" w:rsidP="006B6246">
      <w:pPr>
        <w:pStyle w:val="ListParagraph"/>
        <w:numPr>
          <w:ilvl w:val="0"/>
          <w:numId w:val="1"/>
        </w:numPr>
      </w:pPr>
      <w:r>
        <w:rPr>
          <w:b/>
        </w:rPr>
        <w:t xml:space="preserve">Prescription Drug Prior Authorization Processing Timeliness </w:t>
      </w:r>
    </w:p>
    <w:p w14:paraId="21222749" w14:textId="46F4F365" w:rsidR="006B6246" w:rsidRDefault="006B6246" w:rsidP="006B6246">
      <w:pPr>
        <w:rPr>
          <w:rFonts w:cstheme="minorHAnsi"/>
        </w:rPr>
      </w:pPr>
      <w:r>
        <w:rPr>
          <w:rFonts w:cstheme="minorHAnsi"/>
        </w:rPr>
        <w:t>Insurer shall process 100 percent (100%) of all outpatient prescription drug prior authorizations within twenty-four (24) hours.</w:t>
      </w:r>
    </w:p>
    <w:p w14:paraId="3649EE17" w14:textId="77777777" w:rsidR="006B6246" w:rsidRDefault="006B6246" w:rsidP="006B6246">
      <w:r>
        <w:rPr>
          <w:rFonts w:cstheme="minorHAnsi"/>
          <w:u w:val="single"/>
        </w:rPr>
        <w:t>Financial Consequences:</w:t>
      </w:r>
      <w:r w:rsidRPr="005F7249">
        <w:t xml:space="preserve"> </w:t>
      </w:r>
      <w:r>
        <w:t>one thousand dollars ($1,000) per percentage point below guarantee.</w:t>
      </w:r>
    </w:p>
    <w:p w14:paraId="4D3FC8A3" w14:textId="77777777" w:rsidR="006B6246" w:rsidRDefault="006B6246" w:rsidP="006B6246">
      <w:pPr>
        <w:rPr>
          <w:u w:val="single"/>
        </w:rPr>
      </w:pPr>
      <w:r>
        <w:rPr>
          <w:u w:val="single"/>
        </w:rPr>
        <w:t>Calculation Methodology</w:t>
      </w:r>
    </w:p>
    <w:p w14:paraId="2300FEB7" w14:textId="5356BC3B" w:rsidR="006B6246" w:rsidRDefault="006B6246" w:rsidP="006B6246">
      <w:pPr>
        <w:pStyle w:val="ListParagraph"/>
        <w:numPr>
          <w:ilvl w:val="0"/>
          <w:numId w:val="12"/>
        </w:numPr>
        <w:contextualSpacing w:val="0"/>
      </w:pPr>
      <w:r>
        <w:t xml:space="preserve">The measurement begins from the date and time Insurer receives the request and ends the date and time Insurer makes a final decision and communicates such decision to the requesting Provider by telephone or other telecommunication device. </w:t>
      </w:r>
    </w:p>
    <w:p w14:paraId="2AFC0804" w14:textId="17F6A6BF" w:rsidR="006B6246" w:rsidRDefault="007432E2" w:rsidP="006B6246">
      <w:pPr>
        <w:pStyle w:val="ListParagraph"/>
        <w:numPr>
          <w:ilvl w:val="1"/>
          <w:numId w:val="12"/>
        </w:numPr>
        <w:contextualSpacing w:val="0"/>
      </w:pPr>
      <w:r>
        <w:t>Prescription drugs not subject to the prior authorization requirements of section 1927(d)(5)(A) of the Act are excluded from this measurement.</w:t>
      </w:r>
    </w:p>
    <w:p w14:paraId="21CC5167" w14:textId="76FA8FC3" w:rsidR="006B6246" w:rsidRPr="0087127E" w:rsidRDefault="006B6246" w:rsidP="006B6246">
      <w:pPr>
        <w:pStyle w:val="ListParagraph"/>
        <w:numPr>
          <w:ilvl w:val="0"/>
          <w:numId w:val="12"/>
        </w:numPr>
        <w:contextualSpacing w:val="0"/>
      </w:pPr>
      <w:r>
        <w:t xml:space="preserve">For purposes of determining compliance with this PG and for determining any financial consequences, Insurer shall report the percentage of prior authorizations processed within </w:t>
      </w:r>
      <w:r w:rsidR="00B01B75">
        <w:rPr>
          <w:rFonts w:cstheme="minorHAnsi"/>
        </w:rPr>
        <w:t>twenty-four (24) hours</w:t>
      </w:r>
      <w:r>
        <w:t>. Performance reported in any other manner, including the number of Calendar Days or hours to process one hundred percent (100%) of prior authorizations is insufficient to meet the requirements of this PG.</w:t>
      </w:r>
    </w:p>
    <w:p w14:paraId="365BAEFD" w14:textId="77777777" w:rsidR="006B6246" w:rsidRPr="007A33B3" w:rsidRDefault="006B6246" w:rsidP="006B6246">
      <w:pPr>
        <w:pStyle w:val="ListParagraph"/>
        <w:numPr>
          <w:ilvl w:val="0"/>
          <w:numId w:val="12"/>
        </w:numPr>
        <w:contextualSpacing w:val="0"/>
      </w:pPr>
      <w:r>
        <w:rPr>
          <w:rFonts w:cstheme="minorHAnsi"/>
        </w:rPr>
        <w:t>Financial Consequences</w:t>
      </w:r>
      <w:r w:rsidRPr="00EB49FF">
        <w:rPr>
          <w:rFonts w:cstheme="minorHAnsi"/>
        </w:rPr>
        <w:t xml:space="preserve"> </w:t>
      </w:r>
      <w:r>
        <w:rPr>
          <w:rFonts w:cstheme="minorHAnsi"/>
        </w:rPr>
        <w:t>shall be</w:t>
      </w:r>
      <w:r w:rsidRPr="00EB49FF">
        <w:rPr>
          <w:rFonts w:cstheme="minorHAnsi"/>
        </w:rPr>
        <w:t xml:space="preserve"> calculated as the difference between the guarantee and the</w:t>
      </w:r>
      <w:r>
        <w:rPr>
          <w:rFonts w:cstheme="minorHAnsi"/>
        </w:rPr>
        <w:t xml:space="preserve"> actual result, multiplied by one thousand dollars ($1,000)</w:t>
      </w:r>
      <w:r w:rsidRPr="00EB49FF">
        <w:rPr>
          <w:rFonts w:cstheme="minorHAnsi"/>
        </w:rPr>
        <w:t>.</w:t>
      </w:r>
    </w:p>
    <w:p w14:paraId="194E4120" w14:textId="5BE3135C" w:rsidR="006B6246" w:rsidRPr="00DC2011" w:rsidRDefault="006B6246" w:rsidP="004E1EAB">
      <w:r w:rsidRPr="009E6200">
        <w:rPr>
          <w:rFonts w:cstheme="minorHAnsi"/>
          <w:u w:val="single"/>
        </w:rPr>
        <w:t>Relate</w:t>
      </w:r>
      <w:r>
        <w:rPr>
          <w:rFonts w:cstheme="minorHAnsi"/>
          <w:u w:val="single"/>
        </w:rPr>
        <w:t>d Contract Reference:</w:t>
      </w:r>
      <w:r>
        <w:t xml:space="preserve"> Section 26</w:t>
      </w:r>
    </w:p>
    <w:p w14:paraId="419D8811" w14:textId="77777777" w:rsidR="000172BC" w:rsidRPr="000172BC" w:rsidRDefault="000172BC" w:rsidP="00C06D53">
      <w:pPr>
        <w:pStyle w:val="ListParagraph"/>
        <w:numPr>
          <w:ilvl w:val="0"/>
          <w:numId w:val="1"/>
        </w:numPr>
      </w:pPr>
      <w:r>
        <w:rPr>
          <w:b/>
        </w:rPr>
        <w:t>Systems Availability</w:t>
      </w:r>
    </w:p>
    <w:p w14:paraId="5379D774" w14:textId="42BFC4A7" w:rsidR="000172BC" w:rsidRDefault="000A5A2B" w:rsidP="000172BC">
      <w:r>
        <w:t>Insurer shall</w:t>
      </w:r>
      <w:r w:rsidR="007E4B93">
        <w:t xml:space="preserve"> maintain </w:t>
      </w:r>
      <w:r w:rsidR="00C16F9B">
        <w:t xml:space="preserve">availability, which includes standard accessibility, </w:t>
      </w:r>
      <w:r w:rsidR="007E4B93">
        <w:t xml:space="preserve">of systems </w:t>
      </w:r>
      <w:r w:rsidR="00C5187D">
        <w:t xml:space="preserve">critical </w:t>
      </w:r>
      <w:r w:rsidR="007E4B93">
        <w:t>to Enrollees and Providers</w:t>
      </w:r>
      <w:r w:rsidR="007A43F2">
        <w:t xml:space="preserve">, </w:t>
      </w:r>
      <w:r w:rsidR="00671EE8">
        <w:t xml:space="preserve">including the public and private plan website(s), any Provider portal or website, and enrollment system, </w:t>
      </w:r>
      <w:r w:rsidR="005278D4">
        <w:t>twenty-four hours a day, seven days a week (24/7) e</w:t>
      </w:r>
      <w:r w:rsidR="007633DC">
        <w:t xml:space="preserve">xcept during scheduled </w:t>
      </w:r>
      <w:r w:rsidR="00A432B7">
        <w:t>maintenance</w:t>
      </w:r>
      <w:r w:rsidR="007633DC">
        <w:t xml:space="preserve">. </w:t>
      </w:r>
      <w:r>
        <w:t>Insurer shall</w:t>
      </w:r>
      <w:r w:rsidR="007633DC">
        <w:t xml:space="preserve"> resolve unscheduled unavailability of these </w:t>
      </w:r>
      <w:r w:rsidR="007633DC">
        <w:lastRenderedPageBreak/>
        <w:t xml:space="preserve">systems within forty-eight (48) hours of identification of the unavailability, when such unavailability is within Insurer’s </w:t>
      </w:r>
      <w:r w:rsidR="00AF48F0">
        <w:t xml:space="preserve">direct or indirect </w:t>
      </w:r>
      <w:r w:rsidR="007633DC">
        <w:t xml:space="preserve">control. </w:t>
      </w:r>
    </w:p>
    <w:p w14:paraId="5D34603D" w14:textId="7534BA34" w:rsidR="00CD4739" w:rsidRDefault="00A07643" w:rsidP="00CD4739">
      <w:r>
        <w:rPr>
          <w:rFonts w:cstheme="minorHAnsi"/>
          <w:u w:val="single"/>
        </w:rPr>
        <w:t>Financial Consequences</w:t>
      </w:r>
      <w:r w:rsidR="00CD4739">
        <w:rPr>
          <w:rFonts w:cstheme="minorHAnsi"/>
          <w:u w:val="single"/>
        </w:rPr>
        <w:t>:</w:t>
      </w:r>
      <w:r w:rsidR="00CD4739" w:rsidRPr="005F7249">
        <w:t xml:space="preserve"> </w:t>
      </w:r>
      <w:r w:rsidR="005A07EF">
        <w:t>one thousand dollars ($1,000)</w:t>
      </w:r>
      <w:r w:rsidR="00CD4739">
        <w:t xml:space="preserve"> </w:t>
      </w:r>
      <w:r w:rsidR="008350EE">
        <w:t>per Calendar Day</w:t>
      </w:r>
    </w:p>
    <w:p w14:paraId="3D5CDB3A" w14:textId="77777777" w:rsidR="00CD4739" w:rsidRDefault="00CD4739" w:rsidP="00CD4739">
      <w:pPr>
        <w:rPr>
          <w:u w:val="single"/>
        </w:rPr>
      </w:pPr>
      <w:r>
        <w:rPr>
          <w:u w:val="single"/>
        </w:rPr>
        <w:t>Calculation Methodology</w:t>
      </w:r>
    </w:p>
    <w:p w14:paraId="2E531C75" w14:textId="77777777" w:rsidR="005278D4" w:rsidRDefault="00A07643" w:rsidP="00CD4739">
      <w:pPr>
        <w:pStyle w:val="ListParagraph"/>
        <w:numPr>
          <w:ilvl w:val="0"/>
          <w:numId w:val="17"/>
        </w:numPr>
        <w:contextualSpacing w:val="0"/>
      </w:pPr>
      <w:r>
        <w:t>Financial Consequences</w:t>
      </w:r>
      <w:r w:rsidR="00293F84">
        <w:t xml:space="preserve"> apply to each Calendar Day beyond the allowable forty-eight (48) hours, including the date the systems regain availability. </w:t>
      </w:r>
    </w:p>
    <w:p w14:paraId="42F6262C" w14:textId="54160B11" w:rsidR="00E85479" w:rsidRPr="000172BC" w:rsidRDefault="00E85479" w:rsidP="00E85479">
      <w:r w:rsidRPr="009E6200">
        <w:rPr>
          <w:rFonts w:cstheme="minorHAnsi"/>
          <w:u w:val="single"/>
        </w:rPr>
        <w:t>Relate</w:t>
      </w:r>
      <w:r>
        <w:rPr>
          <w:rFonts w:cstheme="minorHAnsi"/>
          <w:u w:val="single"/>
        </w:rPr>
        <w:t>d Contract Reference:</w:t>
      </w:r>
      <w:r>
        <w:t xml:space="preserve"> Section 6</w:t>
      </w:r>
    </w:p>
    <w:p w14:paraId="45778CEB" w14:textId="77777777" w:rsidR="00C06D53" w:rsidRPr="00C06D53" w:rsidRDefault="00C06D53" w:rsidP="00C06D53">
      <w:pPr>
        <w:pStyle w:val="ListParagraph"/>
        <w:numPr>
          <w:ilvl w:val="0"/>
          <w:numId w:val="1"/>
        </w:numPr>
      </w:pPr>
      <w:r>
        <w:rPr>
          <w:b/>
        </w:rPr>
        <w:t>Network Access</w:t>
      </w:r>
    </w:p>
    <w:p w14:paraId="1665FA1A" w14:textId="1F57CF08" w:rsidR="001601BD" w:rsidRDefault="000A5A2B" w:rsidP="001601BD">
      <w:r>
        <w:t>Insurer shall</w:t>
      </w:r>
      <w:r w:rsidR="001601BD">
        <w:t xml:space="preserve"> provide ninety percent (90%) of Enrollees residing in Insurer’s Service Area with access to one </w:t>
      </w:r>
      <w:r w:rsidR="007E1628">
        <w:t xml:space="preserve">Provider </w:t>
      </w:r>
      <w:r w:rsidR="001601BD">
        <w:t>for each of the provider types below within the timeframe and distance listed</w:t>
      </w:r>
      <w:r w:rsidR="00962CC8">
        <w:t xml:space="preserve"> for rural and urban counties</w:t>
      </w:r>
      <w:r w:rsidR="001601BD">
        <w:t xml:space="preserve">. </w:t>
      </w:r>
    </w:p>
    <w:tbl>
      <w:tblPr>
        <w:tblStyle w:val="TableGrid1"/>
        <w:tblW w:w="0" w:type="auto"/>
        <w:tblLook w:val="04A0" w:firstRow="1" w:lastRow="0" w:firstColumn="1" w:lastColumn="0" w:noHBand="0" w:noVBand="1"/>
      </w:tblPr>
      <w:tblGrid>
        <w:gridCol w:w="2268"/>
        <w:gridCol w:w="1766"/>
        <w:gridCol w:w="1775"/>
        <w:gridCol w:w="1766"/>
        <w:gridCol w:w="1775"/>
      </w:tblGrid>
      <w:tr w:rsidR="004552FE" w:rsidRPr="00F325B4" w14:paraId="31CC6541" w14:textId="77777777" w:rsidTr="004552FE">
        <w:tc>
          <w:tcPr>
            <w:tcW w:w="2268" w:type="dxa"/>
          </w:tcPr>
          <w:p w14:paraId="61386C0B" w14:textId="77777777" w:rsidR="004552FE" w:rsidRPr="00F325B4" w:rsidRDefault="004552FE" w:rsidP="004552FE">
            <w:pPr>
              <w:rPr>
                <w:rFonts w:cstheme="minorHAnsi"/>
                <w:b/>
              </w:rPr>
            </w:pPr>
            <w:r w:rsidRPr="00F325B4">
              <w:rPr>
                <w:rFonts w:cstheme="minorHAnsi"/>
                <w:b/>
              </w:rPr>
              <w:t>Provider Type</w:t>
            </w:r>
          </w:p>
        </w:tc>
        <w:tc>
          <w:tcPr>
            <w:tcW w:w="3541" w:type="dxa"/>
            <w:gridSpan w:val="2"/>
          </w:tcPr>
          <w:p w14:paraId="4C95CF77" w14:textId="77777777" w:rsidR="004552FE" w:rsidRPr="00F325B4" w:rsidRDefault="004552FE" w:rsidP="004552FE">
            <w:pPr>
              <w:rPr>
                <w:rFonts w:cstheme="minorHAnsi"/>
                <w:b/>
              </w:rPr>
            </w:pPr>
            <w:r w:rsidRPr="00F325B4">
              <w:rPr>
                <w:rFonts w:cstheme="minorHAnsi"/>
                <w:b/>
              </w:rPr>
              <w:t>Time (in minutes)</w:t>
            </w:r>
          </w:p>
        </w:tc>
        <w:tc>
          <w:tcPr>
            <w:tcW w:w="3541" w:type="dxa"/>
            <w:gridSpan w:val="2"/>
          </w:tcPr>
          <w:p w14:paraId="2A44F088" w14:textId="77777777" w:rsidR="004552FE" w:rsidRPr="00F325B4" w:rsidRDefault="004552FE" w:rsidP="004552FE">
            <w:pPr>
              <w:rPr>
                <w:rFonts w:cstheme="minorHAnsi"/>
                <w:b/>
              </w:rPr>
            </w:pPr>
            <w:r w:rsidRPr="00F325B4">
              <w:rPr>
                <w:rFonts w:cstheme="minorHAnsi"/>
                <w:b/>
              </w:rPr>
              <w:t>Distance (in miles)</w:t>
            </w:r>
          </w:p>
        </w:tc>
      </w:tr>
      <w:tr w:rsidR="004552FE" w:rsidRPr="00F325B4" w14:paraId="152BA50B" w14:textId="77777777" w:rsidTr="004552FE">
        <w:tc>
          <w:tcPr>
            <w:tcW w:w="2268" w:type="dxa"/>
          </w:tcPr>
          <w:p w14:paraId="09552BE9" w14:textId="77777777" w:rsidR="004552FE" w:rsidRPr="00F325B4" w:rsidRDefault="004552FE" w:rsidP="004552FE">
            <w:pPr>
              <w:rPr>
                <w:rFonts w:cstheme="minorHAnsi"/>
                <w:b/>
              </w:rPr>
            </w:pPr>
          </w:p>
        </w:tc>
        <w:tc>
          <w:tcPr>
            <w:tcW w:w="1766" w:type="dxa"/>
          </w:tcPr>
          <w:p w14:paraId="23822D16" w14:textId="77777777" w:rsidR="004552FE" w:rsidRPr="00F325B4" w:rsidRDefault="004552FE" w:rsidP="004552FE">
            <w:pPr>
              <w:rPr>
                <w:rFonts w:cstheme="minorHAnsi"/>
                <w:b/>
              </w:rPr>
            </w:pPr>
            <w:r w:rsidRPr="00F325B4">
              <w:rPr>
                <w:rFonts w:cstheme="minorHAnsi"/>
                <w:b/>
              </w:rPr>
              <w:t>Rural</w:t>
            </w:r>
          </w:p>
        </w:tc>
        <w:tc>
          <w:tcPr>
            <w:tcW w:w="1775" w:type="dxa"/>
          </w:tcPr>
          <w:p w14:paraId="54087B9C" w14:textId="77777777" w:rsidR="004552FE" w:rsidRPr="00F325B4" w:rsidRDefault="004552FE" w:rsidP="004552FE">
            <w:pPr>
              <w:rPr>
                <w:rFonts w:cstheme="minorHAnsi"/>
                <w:b/>
              </w:rPr>
            </w:pPr>
            <w:r w:rsidRPr="00F325B4">
              <w:rPr>
                <w:rFonts w:cstheme="minorHAnsi"/>
                <w:b/>
              </w:rPr>
              <w:t>Urban</w:t>
            </w:r>
          </w:p>
        </w:tc>
        <w:tc>
          <w:tcPr>
            <w:tcW w:w="1766" w:type="dxa"/>
          </w:tcPr>
          <w:p w14:paraId="647AE89C" w14:textId="77777777" w:rsidR="004552FE" w:rsidRPr="00F325B4" w:rsidRDefault="004552FE" w:rsidP="004552FE">
            <w:pPr>
              <w:rPr>
                <w:rFonts w:cstheme="minorHAnsi"/>
                <w:b/>
              </w:rPr>
            </w:pPr>
            <w:r w:rsidRPr="00F325B4">
              <w:rPr>
                <w:rFonts w:cstheme="minorHAnsi"/>
                <w:b/>
              </w:rPr>
              <w:t>Rural</w:t>
            </w:r>
          </w:p>
        </w:tc>
        <w:tc>
          <w:tcPr>
            <w:tcW w:w="1775" w:type="dxa"/>
          </w:tcPr>
          <w:p w14:paraId="5A3A99D0" w14:textId="77777777" w:rsidR="004552FE" w:rsidRPr="00F325B4" w:rsidRDefault="004552FE" w:rsidP="004552FE">
            <w:pPr>
              <w:rPr>
                <w:rFonts w:cstheme="minorHAnsi"/>
                <w:b/>
              </w:rPr>
            </w:pPr>
            <w:r w:rsidRPr="00F325B4">
              <w:rPr>
                <w:rFonts w:cstheme="minorHAnsi"/>
                <w:b/>
              </w:rPr>
              <w:t>Urban</w:t>
            </w:r>
          </w:p>
        </w:tc>
      </w:tr>
      <w:tr w:rsidR="004552FE" w:rsidRPr="00F325B4" w14:paraId="3B8E623D" w14:textId="77777777" w:rsidTr="004552FE">
        <w:tc>
          <w:tcPr>
            <w:tcW w:w="2268" w:type="dxa"/>
          </w:tcPr>
          <w:p w14:paraId="466760BA" w14:textId="77777777" w:rsidR="004552FE" w:rsidRPr="00F325B4" w:rsidRDefault="004552FE" w:rsidP="004552FE">
            <w:pPr>
              <w:rPr>
                <w:rFonts w:cstheme="minorHAnsi"/>
                <w:b/>
              </w:rPr>
            </w:pPr>
            <w:r>
              <w:rPr>
                <w:rFonts w:cstheme="minorHAnsi"/>
                <w:b/>
              </w:rPr>
              <w:t xml:space="preserve">PCP – Pediatrician </w:t>
            </w:r>
          </w:p>
        </w:tc>
        <w:tc>
          <w:tcPr>
            <w:tcW w:w="1766" w:type="dxa"/>
          </w:tcPr>
          <w:p w14:paraId="06F68F39" w14:textId="77777777" w:rsidR="004552FE" w:rsidRPr="00F325B4" w:rsidRDefault="004552FE" w:rsidP="004552FE">
            <w:pPr>
              <w:rPr>
                <w:rFonts w:cstheme="minorHAnsi"/>
              </w:rPr>
            </w:pPr>
            <w:r>
              <w:t>30</w:t>
            </w:r>
          </w:p>
        </w:tc>
        <w:tc>
          <w:tcPr>
            <w:tcW w:w="1775" w:type="dxa"/>
          </w:tcPr>
          <w:p w14:paraId="3BE13468" w14:textId="77777777" w:rsidR="004552FE" w:rsidRPr="00F325B4" w:rsidRDefault="004552FE" w:rsidP="004552FE">
            <w:pPr>
              <w:rPr>
                <w:rFonts w:cstheme="minorHAnsi"/>
              </w:rPr>
            </w:pPr>
            <w:r>
              <w:t>20</w:t>
            </w:r>
          </w:p>
        </w:tc>
        <w:tc>
          <w:tcPr>
            <w:tcW w:w="1766" w:type="dxa"/>
          </w:tcPr>
          <w:p w14:paraId="49A4442F" w14:textId="77777777" w:rsidR="004552FE" w:rsidRPr="00F325B4" w:rsidRDefault="004552FE" w:rsidP="004552FE">
            <w:pPr>
              <w:rPr>
                <w:rFonts w:cstheme="minorHAnsi"/>
              </w:rPr>
            </w:pPr>
            <w:r>
              <w:t>30</w:t>
            </w:r>
          </w:p>
        </w:tc>
        <w:tc>
          <w:tcPr>
            <w:tcW w:w="1775" w:type="dxa"/>
          </w:tcPr>
          <w:p w14:paraId="3DD8A713" w14:textId="77777777" w:rsidR="004552FE" w:rsidRPr="00F325B4" w:rsidRDefault="004552FE" w:rsidP="004552FE">
            <w:pPr>
              <w:rPr>
                <w:rFonts w:cstheme="minorHAnsi"/>
              </w:rPr>
            </w:pPr>
            <w:r>
              <w:t>20</w:t>
            </w:r>
          </w:p>
        </w:tc>
      </w:tr>
      <w:tr w:rsidR="004552FE" w:rsidRPr="00F325B4" w14:paraId="1D779938" w14:textId="77777777" w:rsidTr="004552FE">
        <w:tc>
          <w:tcPr>
            <w:tcW w:w="2268" w:type="dxa"/>
          </w:tcPr>
          <w:p w14:paraId="605B8BEF" w14:textId="77777777" w:rsidR="004552FE" w:rsidRPr="00F325B4" w:rsidRDefault="004552FE" w:rsidP="004552FE">
            <w:pPr>
              <w:rPr>
                <w:rFonts w:cstheme="minorHAnsi"/>
                <w:b/>
              </w:rPr>
            </w:pPr>
            <w:r>
              <w:rPr>
                <w:rFonts w:cstheme="minorHAnsi"/>
                <w:b/>
              </w:rPr>
              <w:t>PCP – Family Physician</w:t>
            </w:r>
          </w:p>
        </w:tc>
        <w:tc>
          <w:tcPr>
            <w:tcW w:w="1766" w:type="dxa"/>
          </w:tcPr>
          <w:p w14:paraId="33143E7F" w14:textId="77777777" w:rsidR="004552FE" w:rsidRPr="00F325B4" w:rsidRDefault="004552FE" w:rsidP="004552FE">
            <w:pPr>
              <w:rPr>
                <w:rFonts w:cstheme="minorHAnsi"/>
              </w:rPr>
            </w:pPr>
            <w:r>
              <w:t>20</w:t>
            </w:r>
          </w:p>
        </w:tc>
        <w:tc>
          <w:tcPr>
            <w:tcW w:w="1775" w:type="dxa"/>
          </w:tcPr>
          <w:p w14:paraId="2AAE4C7B" w14:textId="77777777" w:rsidR="004552FE" w:rsidRPr="00F325B4" w:rsidRDefault="004552FE" w:rsidP="004552FE">
            <w:pPr>
              <w:rPr>
                <w:rFonts w:cstheme="minorHAnsi"/>
              </w:rPr>
            </w:pPr>
            <w:r>
              <w:t>20</w:t>
            </w:r>
          </w:p>
        </w:tc>
        <w:tc>
          <w:tcPr>
            <w:tcW w:w="1766" w:type="dxa"/>
          </w:tcPr>
          <w:p w14:paraId="7BB8C2F4" w14:textId="77777777" w:rsidR="004552FE" w:rsidRPr="00F325B4" w:rsidRDefault="004552FE" w:rsidP="004552FE">
            <w:pPr>
              <w:rPr>
                <w:rFonts w:cstheme="minorHAnsi"/>
              </w:rPr>
            </w:pPr>
            <w:r>
              <w:t>20</w:t>
            </w:r>
          </w:p>
        </w:tc>
        <w:tc>
          <w:tcPr>
            <w:tcW w:w="1775" w:type="dxa"/>
          </w:tcPr>
          <w:p w14:paraId="7A1BF449" w14:textId="77777777" w:rsidR="004552FE" w:rsidRPr="00F325B4" w:rsidRDefault="004552FE" w:rsidP="004552FE">
            <w:pPr>
              <w:rPr>
                <w:rFonts w:cstheme="minorHAnsi"/>
              </w:rPr>
            </w:pPr>
            <w:r>
              <w:t>20</w:t>
            </w:r>
          </w:p>
        </w:tc>
      </w:tr>
      <w:tr w:rsidR="004552FE" w:rsidRPr="00F325B4" w14:paraId="06B72A7D" w14:textId="77777777" w:rsidTr="004552FE">
        <w:tc>
          <w:tcPr>
            <w:tcW w:w="2268" w:type="dxa"/>
          </w:tcPr>
          <w:p w14:paraId="103DC733" w14:textId="77777777" w:rsidR="004552FE" w:rsidRPr="00F325B4" w:rsidRDefault="004552FE" w:rsidP="004552FE">
            <w:pPr>
              <w:rPr>
                <w:rFonts w:cstheme="minorHAnsi"/>
                <w:b/>
              </w:rPr>
            </w:pPr>
            <w:r>
              <w:rPr>
                <w:rFonts w:cstheme="minorHAnsi"/>
                <w:b/>
              </w:rPr>
              <w:t>OB/GYN</w:t>
            </w:r>
          </w:p>
        </w:tc>
        <w:tc>
          <w:tcPr>
            <w:tcW w:w="1766" w:type="dxa"/>
          </w:tcPr>
          <w:p w14:paraId="2D0F9871" w14:textId="77777777" w:rsidR="004552FE" w:rsidRPr="00F325B4" w:rsidRDefault="004552FE" w:rsidP="004552FE">
            <w:pPr>
              <w:rPr>
                <w:rFonts w:cstheme="minorHAnsi"/>
              </w:rPr>
            </w:pPr>
            <w:r>
              <w:t>30</w:t>
            </w:r>
          </w:p>
        </w:tc>
        <w:tc>
          <w:tcPr>
            <w:tcW w:w="1775" w:type="dxa"/>
          </w:tcPr>
          <w:p w14:paraId="4A57E145" w14:textId="77777777" w:rsidR="004552FE" w:rsidRPr="00F325B4" w:rsidRDefault="004552FE" w:rsidP="004552FE">
            <w:pPr>
              <w:rPr>
                <w:rFonts w:cstheme="minorHAnsi"/>
              </w:rPr>
            </w:pPr>
            <w:r>
              <w:t>30</w:t>
            </w:r>
          </w:p>
        </w:tc>
        <w:tc>
          <w:tcPr>
            <w:tcW w:w="1766" w:type="dxa"/>
          </w:tcPr>
          <w:p w14:paraId="2869F314" w14:textId="77777777" w:rsidR="004552FE" w:rsidRPr="00F325B4" w:rsidRDefault="004552FE" w:rsidP="004552FE">
            <w:pPr>
              <w:rPr>
                <w:rFonts w:cstheme="minorHAnsi"/>
              </w:rPr>
            </w:pPr>
            <w:r>
              <w:t>30</w:t>
            </w:r>
          </w:p>
        </w:tc>
        <w:tc>
          <w:tcPr>
            <w:tcW w:w="1775" w:type="dxa"/>
          </w:tcPr>
          <w:p w14:paraId="039F0609" w14:textId="77777777" w:rsidR="004552FE" w:rsidRPr="00F325B4" w:rsidRDefault="004552FE" w:rsidP="004552FE">
            <w:pPr>
              <w:rPr>
                <w:rFonts w:cstheme="minorHAnsi"/>
              </w:rPr>
            </w:pPr>
            <w:r>
              <w:t>30</w:t>
            </w:r>
          </w:p>
        </w:tc>
      </w:tr>
      <w:tr w:rsidR="004552FE" w:rsidRPr="00F325B4" w14:paraId="065D7D46" w14:textId="77777777" w:rsidTr="004552FE">
        <w:tc>
          <w:tcPr>
            <w:tcW w:w="2268" w:type="dxa"/>
          </w:tcPr>
          <w:p w14:paraId="3BE5BF1F" w14:textId="77777777" w:rsidR="004552FE" w:rsidRPr="00F325B4" w:rsidRDefault="004552FE" w:rsidP="004552FE">
            <w:pPr>
              <w:rPr>
                <w:rFonts w:cstheme="minorHAnsi"/>
                <w:b/>
              </w:rPr>
            </w:pPr>
            <w:r>
              <w:rPr>
                <w:rFonts w:cstheme="minorHAnsi"/>
                <w:b/>
              </w:rPr>
              <w:t xml:space="preserve">Behavioral Health – Pediatric </w:t>
            </w:r>
          </w:p>
        </w:tc>
        <w:tc>
          <w:tcPr>
            <w:tcW w:w="1766" w:type="dxa"/>
          </w:tcPr>
          <w:p w14:paraId="77E1ED90" w14:textId="77777777" w:rsidR="004552FE" w:rsidRPr="00F325B4" w:rsidRDefault="004552FE" w:rsidP="004552FE">
            <w:pPr>
              <w:rPr>
                <w:rFonts w:cstheme="minorHAnsi"/>
              </w:rPr>
            </w:pPr>
            <w:r>
              <w:t>60</w:t>
            </w:r>
          </w:p>
        </w:tc>
        <w:tc>
          <w:tcPr>
            <w:tcW w:w="1775" w:type="dxa"/>
          </w:tcPr>
          <w:p w14:paraId="31639D55" w14:textId="77777777" w:rsidR="004552FE" w:rsidRPr="00F325B4" w:rsidRDefault="004552FE" w:rsidP="004552FE">
            <w:pPr>
              <w:rPr>
                <w:rFonts w:cstheme="minorHAnsi"/>
              </w:rPr>
            </w:pPr>
            <w:r>
              <w:t>30</w:t>
            </w:r>
          </w:p>
        </w:tc>
        <w:tc>
          <w:tcPr>
            <w:tcW w:w="1766" w:type="dxa"/>
          </w:tcPr>
          <w:p w14:paraId="55978EA2" w14:textId="77777777" w:rsidR="004552FE" w:rsidRPr="00F325B4" w:rsidRDefault="004552FE" w:rsidP="004552FE">
            <w:pPr>
              <w:rPr>
                <w:rFonts w:cstheme="minorHAnsi"/>
              </w:rPr>
            </w:pPr>
            <w:r>
              <w:t>45</w:t>
            </w:r>
          </w:p>
        </w:tc>
        <w:tc>
          <w:tcPr>
            <w:tcW w:w="1775" w:type="dxa"/>
          </w:tcPr>
          <w:p w14:paraId="3247C501" w14:textId="77777777" w:rsidR="004552FE" w:rsidRPr="00F325B4" w:rsidRDefault="004552FE" w:rsidP="004552FE">
            <w:pPr>
              <w:rPr>
                <w:rFonts w:cstheme="minorHAnsi"/>
              </w:rPr>
            </w:pPr>
            <w:r>
              <w:t>30</w:t>
            </w:r>
          </w:p>
        </w:tc>
      </w:tr>
      <w:tr w:rsidR="004552FE" w:rsidRPr="00F325B4" w14:paraId="4D64CD3D" w14:textId="77777777" w:rsidTr="004552FE">
        <w:tc>
          <w:tcPr>
            <w:tcW w:w="2268" w:type="dxa"/>
          </w:tcPr>
          <w:p w14:paraId="4B9BABF6" w14:textId="77777777" w:rsidR="004552FE" w:rsidRPr="00F325B4" w:rsidRDefault="004552FE" w:rsidP="004552FE">
            <w:pPr>
              <w:rPr>
                <w:rFonts w:cstheme="minorHAnsi"/>
                <w:b/>
              </w:rPr>
            </w:pPr>
            <w:r>
              <w:rPr>
                <w:rFonts w:cstheme="minorHAnsi"/>
                <w:b/>
              </w:rPr>
              <w:t>Behavioral Health – Other</w:t>
            </w:r>
          </w:p>
        </w:tc>
        <w:tc>
          <w:tcPr>
            <w:tcW w:w="1766" w:type="dxa"/>
          </w:tcPr>
          <w:p w14:paraId="2E20EBC9" w14:textId="77777777" w:rsidR="004552FE" w:rsidRPr="00F325B4" w:rsidRDefault="004552FE" w:rsidP="004552FE">
            <w:pPr>
              <w:rPr>
                <w:rFonts w:cstheme="minorHAnsi"/>
              </w:rPr>
            </w:pPr>
            <w:r>
              <w:t>60</w:t>
            </w:r>
          </w:p>
        </w:tc>
        <w:tc>
          <w:tcPr>
            <w:tcW w:w="1775" w:type="dxa"/>
          </w:tcPr>
          <w:p w14:paraId="40025BAE" w14:textId="77777777" w:rsidR="004552FE" w:rsidRPr="00F325B4" w:rsidRDefault="004552FE" w:rsidP="004552FE">
            <w:pPr>
              <w:rPr>
                <w:rFonts w:cstheme="minorHAnsi"/>
              </w:rPr>
            </w:pPr>
            <w:r>
              <w:t>30</w:t>
            </w:r>
          </w:p>
        </w:tc>
        <w:tc>
          <w:tcPr>
            <w:tcW w:w="1766" w:type="dxa"/>
          </w:tcPr>
          <w:p w14:paraId="3583FE00" w14:textId="77777777" w:rsidR="004552FE" w:rsidRPr="00F325B4" w:rsidRDefault="004552FE" w:rsidP="004552FE">
            <w:pPr>
              <w:rPr>
                <w:rFonts w:cstheme="minorHAnsi"/>
              </w:rPr>
            </w:pPr>
            <w:r>
              <w:t>45</w:t>
            </w:r>
          </w:p>
        </w:tc>
        <w:tc>
          <w:tcPr>
            <w:tcW w:w="1775" w:type="dxa"/>
          </w:tcPr>
          <w:p w14:paraId="23B40D09" w14:textId="77777777" w:rsidR="004552FE" w:rsidRPr="00F325B4" w:rsidRDefault="004552FE" w:rsidP="004552FE">
            <w:pPr>
              <w:rPr>
                <w:rFonts w:cstheme="minorHAnsi"/>
              </w:rPr>
            </w:pPr>
            <w:r>
              <w:t>30</w:t>
            </w:r>
          </w:p>
        </w:tc>
      </w:tr>
      <w:tr w:rsidR="004552FE" w:rsidRPr="00F325B4" w14:paraId="1FAB977F" w14:textId="77777777" w:rsidTr="004552FE">
        <w:tc>
          <w:tcPr>
            <w:tcW w:w="2268" w:type="dxa"/>
          </w:tcPr>
          <w:p w14:paraId="2F227521" w14:textId="77777777" w:rsidR="004552FE" w:rsidRPr="008B7F9D" w:rsidRDefault="004552FE" w:rsidP="004552FE">
            <w:pPr>
              <w:rPr>
                <w:rFonts w:cstheme="minorHAnsi"/>
                <w:b/>
              </w:rPr>
            </w:pPr>
            <w:r w:rsidRPr="008B7F9D">
              <w:rPr>
                <w:rFonts w:cstheme="minorHAnsi"/>
                <w:b/>
              </w:rPr>
              <w:t>Allergy/immunology</w:t>
            </w:r>
          </w:p>
        </w:tc>
        <w:tc>
          <w:tcPr>
            <w:tcW w:w="1766" w:type="dxa"/>
          </w:tcPr>
          <w:p w14:paraId="57F42FE7" w14:textId="77777777" w:rsidR="004552FE" w:rsidRPr="008B7F9D" w:rsidRDefault="004552FE" w:rsidP="004552FE">
            <w:pPr>
              <w:rPr>
                <w:rFonts w:cstheme="minorHAnsi"/>
              </w:rPr>
            </w:pPr>
            <w:r w:rsidRPr="008B7F9D">
              <w:t>60</w:t>
            </w:r>
          </w:p>
        </w:tc>
        <w:tc>
          <w:tcPr>
            <w:tcW w:w="1775" w:type="dxa"/>
          </w:tcPr>
          <w:p w14:paraId="4DDEA49B" w14:textId="77777777" w:rsidR="004552FE" w:rsidRPr="008B7F9D" w:rsidRDefault="004552FE" w:rsidP="004552FE">
            <w:pPr>
              <w:rPr>
                <w:rFonts w:cstheme="minorHAnsi"/>
              </w:rPr>
            </w:pPr>
            <w:r w:rsidRPr="008B7F9D">
              <w:t>30</w:t>
            </w:r>
          </w:p>
        </w:tc>
        <w:tc>
          <w:tcPr>
            <w:tcW w:w="1766" w:type="dxa"/>
          </w:tcPr>
          <w:p w14:paraId="715DB987" w14:textId="77777777" w:rsidR="004552FE" w:rsidRPr="008B7F9D" w:rsidRDefault="004552FE" w:rsidP="004552FE">
            <w:pPr>
              <w:rPr>
                <w:rFonts w:cstheme="minorHAnsi"/>
              </w:rPr>
            </w:pPr>
            <w:r w:rsidRPr="008B7F9D">
              <w:t>45</w:t>
            </w:r>
          </w:p>
        </w:tc>
        <w:tc>
          <w:tcPr>
            <w:tcW w:w="1775" w:type="dxa"/>
          </w:tcPr>
          <w:p w14:paraId="33A36D79" w14:textId="77777777" w:rsidR="004552FE" w:rsidRPr="008B7F9D" w:rsidRDefault="004552FE" w:rsidP="004552FE">
            <w:pPr>
              <w:rPr>
                <w:rFonts w:cstheme="minorHAnsi"/>
              </w:rPr>
            </w:pPr>
            <w:r w:rsidRPr="008B7F9D">
              <w:t>30</w:t>
            </w:r>
          </w:p>
        </w:tc>
      </w:tr>
      <w:tr w:rsidR="004552FE" w:rsidRPr="00F325B4" w14:paraId="596155BA" w14:textId="77777777" w:rsidTr="004552FE">
        <w:tc>
          <w:tcPr>
            <w:tcW w:w="2268" w:type="dxa"/>
          </w:tcPr>
          <w:p w14:paraId="14DFA321" w14:textId="77777777" w:rsidR="004552FE" w:rsidRPr="008B7F9D" w:rsidRDefault="004552FE" w:rsidP="004552FE">
            <w:pPr>
              <w:rPr>
                <w:rFonts w:cstheme="minorHAnsi"/>
                <w:b/>
              </w:rPr>
            </w:pPr>
            <w:r w:rsidRPr="008B7F9D">
              <w:rPr>
                <w:rFonts w:cstheme="minorHAnsi"/>
                <w:b/>
              </w:rPr>
              <w:t>Dermatology</w:t>
            </w:r>
          </w:p>
        </w:tc>
        <w:tc>
          <w:tcPr>
            <w:tcW w:w="1766" w:type="dxa"/>
          </w:tcPr>
          <w:p w14:paraId="6281E11C" w14:textId="77777777" w:rsidR="004552FE" w:rsidRPr="008B7F9D" w:rsidRDefault="004552FE" w:rsidP="004552FE">
            <w:pPr>
              <w:rPr>
                <w:rFonts w:cstheme="minorHAnsi"/>
              </w:rPr>
            </w:pPr>
            <w:r w:rsidRPr="008B7F9D">
              <w:t>60</w:t>
            </w:r>
          </w:p>
        </w:tc>
        <w:tc>
          <w:tcPr>
            <w:tcW w:w="1775" w:type="dxa"/>
          </w:tcPr>
          <w:p w14:paraId="2BA5CAE3" w14:textId="77777777" w:rsidR="004552FE" w:rsidRPr="008B7F9D" w:rsidRDefault="004552FE" w:rsidP="004552FE">
            <w:pPr>
              <w:rPr>
                <w:rFonts w:cstheme="minorHAnsi"/>
              </w:rPr>
            </w:pPr>
            <w:r w:rsidRPr="008B7F9D">
              <w:t>30</w:t>
            </w:r>
          </w:p>
        </w:tc>
        <w:tc>
          <w:tcPr>
            <w:tcW w:w="1766" w:type="dxa"/>
          </w:tcPr>
          <w:p w14:paraId="12652688" w14:textId="77777777" w:rsidR="004552FE" w:rsidRPr="008B7F9D" w:rsidRDefault="004552FE" w:rsidP="004552FE">
            <w:pPr>
              <w:rPr>
                <w:rFonts w:cstheme="minorHAnsi"/>
              </w:rPr>
            </w:pPr>
            <w:r w:rsidRPr="008B7F9D">
              <w:t>45</w:t>
            </w:r>
          </w:p>
        </w:tc>
        <w:tc>
          <w:tcPr>
            <w:tcW w:w="1775" w:type="dxa"/>
          </w:tcPr>
          <w:p w14:paraId="4D83EE7F" w14:textId="77777777" w:rsidR="004552FE" w:rsidRPr="008B7F9D" w:rsidRDefault="004552FE" w:rsidP="004552FE">
            <w:pPr>
              <w:rPr>
                <w:rFonts w:cstheme="minorHAnsi"/>
              </w:rPr>
            </w:pPr>
            <w:r w:rsidRPr="008B7F9D">
              <w:t>30</w:t>
            </w:r>
          </w:p>
        </w:tc>
      </w:tr>
      <w:tr w:rsidR="004552FE" w:rsidRPr="00F325B4" w14:paraId="5AD2EEAD" w14:textId="77777777" w:rsidTr="004552FE">
        <w:tc>
          <w:tcPr>
            <w:tcW w:w="2268" w:type="dxa"/>
          </w:tcPr>
          <w:p w14:paraId="0622A760" w14:textId="77777777" w:rsidR="004552FE" w:rsidRPr="008B7F9D" w:rsidRDefault="004552FE" w:rsidP="004552FE">
            <w:pPr>
              <w:rPr>
                <w:rFonts w:cstheme="minorHAnsi"/>
                <w:b/>
              </w:rPr>
            </w:pPr>
            <w:r w:rsidRPr="008B7F9D">
              <w:rPr>
                <w:rFonts w:cstheme="minorHAnsi"/>
                <w:b/>
              </w:rPr>
              <w:t>Optometry</w:t>
            </w:r>
          </w:p>
        </w:tc>
        <w:tc>
          <w:tcPr>
            <w:tcW w:w="1766" w:type="dxa"/>
          </w:tcPr>
          <w:p w14:paraId="7A7BC971" w14:textId="77777777" w:rsidR="004552FE" w:rsidRPr="008B7F9D" w:rsidRDefault="004552FE" w:rsidP="004552FE">
            <w:pPr>
              <w:rPr>
                <w:rFonts w:cstheme="minorHAnsi"/>
              </w:rPr>
            </w:pPr>
            <w:r w:rsidRPr="008B7F9D">
              <w:t>60</w:t>
            </w:r>
          </w:p>
        </w:tc>
        <w:tc>
          <w:tcPr>
            <w:tcW w:w="1775" w:type="dxa"/>
          </w:tcPr>
          <w:p w14:paraId="79EBDD66" w14:textId="77777777" w:rsidR="004552FE" w:rsidRPr="008B7F9D" w:rsidRDefault="004552FE" w:rsidP="004552FE">
            <w:pPr>
              <w:rPr>
                <w:rFonts w:cstheme="minorHAnsi"/>
              </w:rPr>
            </w:pPr>
            <w:r w:rsidRPr="008B7F9D">
              <w:t>30</w:t>
            </w:r>
          </w:p>
        </w:tc>
        <w:tc>
          <w:tcPr>
            <w:tcW w:w="1766" w:type="dxa"/>
          </w:tcPr>
          <w:p w14:paraId="68997AE1" w14:textId="77777777" w:rsidR="004552FE" w:rsidRPr="008B7F9D" w:rsidRDefault="004552FE" w:rsidP="004552FE">
            <w:pPr>
              <w:rPr>
                <w:rFonts w:cstheme="minorHAnsi"/>
              </w:rPr>
            </w:pPr>
            <w:r w:rsidRPr="008B7F9D">
              <w:t>45</w:t>
            </w:r>
          </w:p>
        </w:tc>
        <w:tc>
          <w:tcPr>
            <w:tcW w:w="1775" w:type="dxa"/>
          </w:tcPr>
          <w:p w14:paraId="630BE812" w14:textId="77777777" w:rsidR="004552FE" w:rsidRPr="008B7F9D" w:rsidRDefault="004552FE" w:rsidP="004552FE">
            <w:pPr>
              <w:rPr>
                <w:rFonts w:cstheme="minorHAnsi"/>
              </w:rPr>
            </w:pPr>
            <w:r w:rsidRPr="008B7F9D">
              <w:t>30</w:t>
            </w:r>
          </w:p>
        </w:tc>
      </w:tr>
      <w:tr w:rsidR="004552FE" w:rsidRPr="00F325B4" w14:paraId="3AD6CBAD" w14:textId="77777777" w:rsidTr="004552FE">
        <w:tc>
          <w:tcPr>
            <w:tcW w:w="2268" w:type="dxa"/>
          </w:tcPr>
          <w:p w14:paraId="691B5184" w14:textId="77777777" w:rsidR="004552FE" w:rsidRPr="008B7F9D" w:rsidRDefault="004552FE" w:rsidP="004552FE">
            <w:pPr>
              <w:rPr>
                <w:rFonts w:cstheme="minorHAnsi"/>
                <w:b/>
              </w:rPr>
            </w:pPr>
            <w:r w:rsidRPr="008B7F9D">
              <w:rPr>
                <w:rFonts w:cstheme="minorHAnsi"/>
                <w:b/>
              </w:rPr>
              <w:t>Otolaryngology (ENT)</w:t>
            </w:r>
          </w:p>
        </w:tc>
        <w:tc>
          <w:tcPr>
            <w:tcW w:w="1766" w:type="dxa"/>
          </w:tcPr>
          <w:p w14:paraId="581319A8" w14:textId="77777777" w:rsidR="004552FE" w:rsidRPr="008B7F9D" w:rsidRDefault="004552FE" w:rsidP="004552FE">
            <w:pPr>
              <w:rPr>
                <w:rFonts w:cstheme="minorHAnsi"/>
              </w:rPr>
            </w:pPr>
            <w:r w:rsidRPr="008B7F9D">
              <w:t>60</w:t>
            </w:r>
          </w:p>
        </w:tc>
        <w:tc>
          <w:tcPr>
            <w:tcW w:w="1775" w:type="dxa"/>
          </w:tcPr>
          <w:p w14:paraId="6FCC20AA" w14:textId="77777777" w:rsidR="004552FE" w:rsidRPr="008B7F9D" w:rsidRDefault="004552FE" w:rsidP="004552FE">
            <w:pPr>
              <w:rPr>
                <w:rFonts w:cstheme="minorHAnsi"/>
              </w:rPr>
            </w:pPr>
            <w:r w:rsidRPr="008B7F9D">
              <w:t>30</w:t>
            </w:r>
          </w:p>
        </w:tc>
        <w:tc>
          <w:tcPr>
            <w:tcW w:w="1766" w:type="dxa"/>
          </w:tcPr>
          <w:p w14:paraId="050E0369" w14:textId="77777777" w:rsidR="004552FE" w:rsidRPr="008B7F9D" w:rsidRDefault="004552FE" w:rsidP="004552FE">
            <w:pPr>
              <w:rPr>
                <w:rFonts w:cstheme="minorHAnsi"/>
              </w:rPr>
            </w:pPr>
            <w:r w:rsidRPr="008B7F9D">
              <w:t>45</w:t>
            </w:r>
          </w:p>
        </w:tc>
        <w:tc>
          <w:tcPr>
            <w:tcW w:w="1775" w:type="dxa"/>
          </w:tcPr>
          <w:p w14:paraId="05A58B1F" w14:textId="77777777" w:rsidR="004552FE" w:rsidRPr="008B7F9D" w:rsidRDefault="004552FE" w:rsidP="004552FE">
            <w:pPr>
              <w:rPr>
                <w:rFonts w:cstheme="minorHAnsi"/>
              </w:rPr>
            </w:pPr>
            <w:r w:rsidRPr="008B7F9D">
              <w:t>30</w:t>
            </w:r>
          </w:p>
        </w:tc>
      </w:tr>
      <w:tr w:rsidR="004552FE" w:rsidRPr="00F325B4" w14:paraId="31851AAC" w14:textId="77777777" w:rsidTr="004552FE">
        <w:tc>
          <w:tcPr>
            <w:tcW w:w="2268" w:type="dxa"/>
          </w:tcPr>
          <w:p w14:paraId="5D507427" w14:textId="77777777" w:rsidR="004552FE" w:rsidRDefault="004552FE" w:rsidP="004552FE">
            <w:pPr>
              <w:rPr>
                <w:rFonts w:cstheme="minorHAnsi"/>
                <w:b/>
              </w:rPr>
            </w:pPr>
            <w:r>
              <w:rPr>
                <w:rFonts w:cstheme="minorHAnsi"/>
                <w:b/>
              </w:rPr>
              <w:t xml:space="preserve">Specialist – Pediatric </w:t>
            </w:r>
          </w:p>
        </w:tc>
        <w:tc>
          <w:tcPr>
            <w:tcW w:w="1766" w:type="dxa"/>
          </w:tcPr>
          <w:p w14:paraId="7284E0DE" w14:textId="77777777" w:rsidR="004552FE" w:rsidRPr="00F325B4" w:rsidRDefault="004552FE" w:rsidP="004552FE">
            <w:pPr>
              <w:rPr>
                <w:rFonts w:cstheme="minorHAnsi"/>
              </w:rPr>
            </w:pPr>
            <w:r>
              <w:t>40</w:t>
            </w:r>
          </w:p>
        </w:tc>
        <w:tc>
          <w:tcPr>
            <w:tcW w:w="1775" w:type="dxa"/>
          </w:tcPr>
          <w:p w14:paraId="6EB3A9A5" w14:textId="77777777" w:rsidR="004552FE" w:rsidRPr="00F325B4" w:rsidRDefault="004552FE" w:rsidP="004552FE">
            <w:pPr>
              <w:rPr>
                <w:rFonts w:cstheme="minorHAnsi"/>
              </w:rPr>
            </w:pPr>
            <w:r>
              <w:t>20</w:t>
            </w:r>
          </w:p>
        </w:tc>
        <w:tc>
          <w:tcPr>
            <w:tcW w:w="1766" w:type="dxa"/>
          </w:tcPr>
          <w:p w14:paraId="7D8008A9" w14:textId="77777777" w:rsidR="004552FE" w:rsidRPr="00F325B4" w:rsidRDefault="004552FE" w:rsidP="004552FE">
            <w:pPr>
              <w:rPr>
                <w:rFonts w:cstheme="minorHAnsi"/>
              </w:rPr>
            </w:pPr>
            <w:r>
              <w:t>30</w:t>
            </w:r>
          </w:p>
        </w:tc>
        <w:tc>
          <w:tcPr>
            <w:tcW w:w="1775" w:type="dxa"/>
          </w:tcPr>
          <w:p w14:paraId="33D946FD" w14:textId="77777777" w:rsidR="004552FE" w:rsidRPr="00F325B4" w:rsidRDefault="004552FE" w:rsidP="004552FE">
            <w:pPr>
              <w:rPr>
                <w:rFonts w:cstheme="minorHAnsi"/>
              </w:rPr>
            </w:pPr>
            <w:r>
              <w:t>20</w:t>
            </w:r>
          </w:p>
        </w:tc>
      </w:tr>
      <w:tr w:rsidR="004552FE" w:rsidRPr="00F325B4" w14:paraId="7E09B46B" w14:textId="77777777" w:rsidTr="004552FE">
        <w:tc>
          <w:tcPr>
            <w:tcW w:w="2268" w:type="dxa"/>
          </w:tcPr>
          <w:p w14:paraId="5A5D0C41" w14:textId="77777777" w:rsidR="004552FE" w:rsidRDefault="004552FE" w:rsidP="004552FE">
            <w:pPr>
              <w:rPr>
                <w:rFonts w:cstheme="minorHAnsi"/>
                <w:b/>
              </w:rPr>
            </w:pPr>
            <w:r>
              <w:rPr>
                <w:rFonts w:cstheme="minorHAnsi"/>
                <w:b/>
              </w:rPr>
              <w:t>Specialist – Other</w:t>
            </w:r>
          </w:p>
        </w:tc>
        <w:tc>
          <w:tcPr>
            <w:tcW w:w="1766" w:type="dxa"/>
          </w:tcPr>
          <w:p w14:paraId="3EABF64D" w14:textId="77777777" w:rsidR="004552FE" w:rsidRPr="00F325B4" w:rsidRDefault="004552FE" w:rsidP="004552FE">
            <w:pPr>
              <w:rPr>
                <w:rFonts w:cstheme="minorHAnsi"/>
              </w:rPr>
            </w:pPr>
            <w:r>
              <w:t>20</w:t>
            </w:r>
          </w:p>
        </w:tc>
        <w:tc>
          <w:tcPr>
            <w:tcW w:w="1775" w:type="dxa"/>
          </w:tcPr>
          <w:p w14:paraId="6614B5E5" w14:textId="77777777" w:rsidR="004552FE" w:rsidRPr="00F325B4" w:rsidRDefault="004552FE" w:rsidP="004552FE">
            <w:pPr>
              <w:rPr>
                <w:rFonts w:cstheme="minorHAnsi"/>
              </w:rPr>
            </w:pPr>
            <w:r>
              <w:t>20</w:t>
            </w:r>
          </w:p>
        </w:tc>
        <w:tc>
          <w:tcPr>
            <w:tcW w:w="1766" w:type="dxa"/>
          </w:tcPr>
          <w:p w14:paraId="43930ECC" w14:textId="77777777" w:rsidR="004552FE" w:rsidRPr="00F325B4" w:rsidRDefault="004552FE" w:rsidP="004552FE">
            <w:pPr>
              <w:rPr>
                <w:rFonts w:cstheme="minorHAnsi"/>
              </w:rPr>
            </w:pPr>
            <w:r>
              <w:t>20</w:t>
            </w:r>
          </w:p>
        </w:tc>
        <w:tc>
          <w:tcPr>
            <w:tcW w:w="1775" w:type="dxa"/>
          </w:tcPr>
          <w:p w14:paraId="7BAB8491" w14:textId="77777777" w:rsidR="004552FE" w:rsidRPr="00F325B4" w:rsidRDefault="004552FE" w:rsidP="004552FE">
            <w:pPr>
              <w:rPr>
                <w:rFonts w:cstheme="minorHAnsi"/>
              </w:rPr>
            </w:pPr>
            <w:r>
              <w:t>20</w:t>
            </w:r>
          </w:p>
        </w:tc>
      </w:tr>
      <w:tr w:rsidR="004552FE" w:rsidRPr="00F325B4" w14:paraId="62CA71CB" w14:textId="77777777" w:rsidTr="004552FE">
        <w:tc>
          <w:tcPr>
            <w:tcW w:w="2268" w:type="dxa"/>
          </w:tcPr>
          <w:p w14:paraId="555B75EA" w14:textId="77777777" w:rsidR="004552FE" w:rsidRPr="00F325B4" w:rsidRDefault="004552FE" w:rsidP="004552FE">
            <w:pPr>
              <w:rPr>
                <w:rFonts w:cstheme="minorHAnsi"/>
                <w:b/>
              </w:rPr>
            </w:pPr>
            <w:r>
              <w:rPr>
                <w:rFonts w:cstheme="minorHAnsi"/>
                <w:b/>
              </w:rPr>
              <w:t>Hospital</w:t>
            </w:r>
          </w:p>
        </w:tc>
        <w:tc>
          <w:tcPr>
            <w:tcW w:w="1766" w:type="dxa"/>
          </w:tcPr>
          <w:p w14:paraId="30C77464" w14:textId="77777777" w:rsidR="004552FE" w:rsidRPr="00F325B4" w:rsidRDefault="004552FE" w:rsidP="004552FE">
            <w:pPr>
              <w:rPr>
                <w:rFonts w:cstheme="minorHAnsi"/>
              </w:rPr>
            </w:pPr>
            <w:r>
              <w:t>30</w:t>
            </w:r>
          </w:p>
        </w:tc>
        <w:tc>
          <w:tcPr>
            <w:tcW w:w="1775" w:type="dxa"/>
          </w:tcPr>
          <w:p w14:paraId="6EC8E6C2" w14:textId="77777777" w:rsidR="004552FE" w:rsidRPr="00F325B4" w:rsidRDefault="004552FE" w:rsidP="004552FE">
            <w:pPr>
              <w:rPr>
                <w:rFonts w:cstheme="minorHAnsi"/>
              </w:rPr>
            </w:pPr>
            <w:r>
              <w:t>30</w:t>
            </w:r>
          </w:p>
        </w:tc>
        <w:tc>
          <w:tcPr>
            <w:tcW w:w="1766" w:type="dxa"/>
          </w:tcPr>
          <w:p w14:paraId="2C4996CA" w14:textId="77777777" w:rsidR="004552FE" w:rsidRPr="00F325B4" w:rsidRDefault="004552FE" w:rsidP="004552FE">
            <w:pPr>
              <w:rPr>
                <w:rFonts w:cstheme="minorHAnsi"/>
              </w:rPr>
            </w:pPr>
            <w:r>
              <w:t>30</w:t>
            </w:r>
          </w:p>
        </w:tc>
        <w:tc>
          <w:tcPr>
            <w:tcW w:w="1775" w:type="dxa"/>
          </w:tcPr>
          <w:p w14:paraId="1E2A9608" w14:textId="77777777" w:rsidR="004552FE" w:rsidRPr="00F325B4" w:rsidRDefault="004552FE" w:rsidP="004552FE">
            <w:pPr>
              <w:rPr>
                <w:rFonts w:cstheme="minorHAnsi"/>
              </w:rPr>
            </w:pPr>
            <w:r>
              <w:t>20</w:t>
            </w:r>
          </w:p>
        </w:tc>
      </w:tr>
      <w:tr w:rsidR="004552FE" w:rsidRPr="00F325B4" w14:paraId="1192D178" w14:textId="77777777" w:rsidTr="004552FE">
        <w:tc>
          <w:tcPr>
            <w:tcW w:w="2268" w:type="dxa"/>
          </w:tcPr>
          <w:p w14:paraId="0B7C5E21" w14:textId="77777777" w:rsidR="004552FE" w:rsidRPr="00F325B4" w:rsidRDefault="004552FE" w:rsidP="004552FE">
            <w:pPr>
              <w:rPr>
                <w:rFonts w:cstheme="minorHAnsi"/>
                <w:b/>
              </w:rPr>
            </w:pPr>
            <w:r>
              <w:rPr>
                <w:rFonts w:cstheme="minorHAnsi"/>
                <w:b/>
              </w:rPr>
              <w:t>Pharmacy</w:t>
            </w:r>
          </w:p>
        </w:tc>
        <w:tc>
          <w:tcPr>
            <w:tcW w:w="1766" w:type="dxa"/>
          </w:tcPr>
          <w:p w14:paraId="3D33C240" w14:textId="77777777" w:rsidR="004552FE" w:rsidRPr="00F325B4" w:rsidRDefault="004552FE" w:rsidP="004552FE">
            <w:pPr>
              <w:rPr>
                <w:rFonts w:cstheme="minorHAnsi"/>
              </w:rPr>
            </w:pPr>
            <w:r>
              <w:t>15</w:t>
            </w:r>
          </w:p>
        </w:tc>
        <w:tc>
          <w:tcPr>
            <w:tcW w:w="1775" w:type="dxa"/>
          </w:tcPr>
          <w:p w14:paraId="05AFD5D0" w14:textId="77777777" w:rsidR="004552FE" w:rsidRPr="00F325B4" w:rsidRDefault="004552FE" w:rsidP="004552FE">
            <w:pPr>
              <w:rPr>
                <w:rFonts w:cstheme="minorHAnsi"/>
              </w:rPr>
            </w:pPr>
            <w:r>
              <w:t>15</w:t>
            </w:r>
          </w:p>
        </w:tc>
        <w:tc>
          <w:tcPr>
            <w:tcW w:w="1766" w:type="dxa"/>
          </w:tcPr>
          <w:p w14:paraId="45AA47C1" w14:textId="77777777" w:rsidR="004552FE" w:rsidRPr="00F325B4" w:rsidRDefault="004552FE" w:rsidP="004552FE">
            <w:pPr>
              <w:rPr>
                <w:rFonts w:cstheme="minorHAnsi"/>
              </w:rPr>
            </w:pPr>
            <w:r>
              <w:t>10</w:t>
            </w:r>
          </w:p>
        </w:tc>
        <w:tc>
          <w:tcPr>
            <w:tcW w:w="1775" w:type="dxa"/>
          </w:tcPr>
          <w:p w14:paraId="308FA3FC" w14:textId="77777777" w:rsidR="004552FE" w:rsidRPr="00F325B4" w:rsidRDefault="004552FE" w:rsidP="004552FE">
            <w:pPr>
              <w:rPr>
                <w:rFonts w:cstheme="minorHAnsi"/>
              </w:rPr>
            </w:pPr>
            <w:r>
              <w:t>10</w:t>
            </w:r>
          </w:p>
        </w:tc>
      </w:tr>
    </w:tbl>
    <w:p w14:paraId="487A90AE" w14:textId="77777777" w:rsidR="004552FE" w:rsidRDefault="004552FE" w:rsidP="006947E4">
      <w:pPr>
        <w:rPr>
          <w:rFonts w:cstheme="minorHAnsi"/>
          <w:u w:val="single"/>
        </w:rPr>
      </w:pPr>
    </w:p>
    <w:p w14:paraId="14F181A1" w14:textId="3D5AC9D4" w:rsidR="006947E4" w:rsidRDefault="00A07643" w:rsidP="006947E4">
      <w:r>
        <w:rPr>
          <w:rFonts w:cstheme="minorHAnsi"/>
          <w:u w:val="single"/>
        </w:rPr>
        <w:t>Financial Consequences</w:t>
      </w:r>
      <w:r w:rsidR="006947E4">
        <w:rPr>
          <w:rFonts w:cstheme="minorHAnsi"/>
          <w:u w:val="single"/>
        </w:rPr>
        <w:t>:</w:t>
      </w:r>
      <w:r w:rsidR="006947E4" w:rsidRPr="005F7249">
        <w:t xml:space="preserve"> </w:t>
      </w:r>
      <w:r w:rsidR="005A07EF">
        <w:t>one thousand dollars ($1,000)</w:t>
      </w:r>
      <w:r w:rsidR="006947E4">
        <w:t xml:space="preserve"> per percentage point below guarantee</w:t>
      </w:r>
      <w:r w:rsidR="00507029">
        <w:t xml:space="preserve"> per </w:t>
      </w:r>
      <w:r w:rsidR="00AB638A">
        <w:t>measurement</w:t>
      </w:r>
      <w:r w:rsidR="006947E4">
        <w:t>.</w:t>
      </w:r>
    </w:p>
    <w:p w14:paraId="1006B922" w14:textId="77777777" w:rsidR="006947E4" w:rsidRDefault="006947E4" w:rsidP="006947E4">
      <w:pPr>
        <w:rPr>
          <w:u w:val="single"/>
        </w:rPr>
      </w:pPr>
      <w:r>
        <w:rPr>
          <w:u w:val="single"/>
        </w:rPr>
        <w:t>Calculation Methodology</w:t>
      </w:r>
    </w:p>
    <w:p w14:paraId="6CF9174E" w14:textId="77777777" w:rsidR="001601BD" w:rsidRDefault="001601BD" w:rsidP="006947E4">
      <w:pPr>
        <w:pStyle w:val="ListParagraph"/>
        <w:numPr>
          <w:ilvl w:val="0"/>
          <w:numId w:val="12"/>
        </w:numPr>
        <w:contextualSpacing w:val="0"/>
      </w:pPr>
      <w:r>
        <w:t>Network access shall be calculated separately for each provider type and access type (time or distance)</w:t>
      </w:r>
      <w:r w:rsidR="008657A1">
        <w:t xml:space="preserve"> and geographical location type (rural or urban)</w:t>
      </w:r>
      <w:r>
        <w:t xml:space="preserve">. </w:t>
      </w:r>
    </w:p>
    <w:p w14:paraId="2AFFEFE4" w14:textId="05020C99" w:rsidR="008C4AF4" w:rsidRDefault="00F054F3" w:rsidP="008C4AF4">
      <w:pPr>
        <w:pStyle w:val="ListParagraph"/>
        <w:numPr>
          <w:ilvl w:val="1"/>
          <w:numId w:val="12"/>
        </w:numPr>
        <w:contextualSpacing w:val="0"/>
      </w:pPr>
      <w:r>
        <w:lastRenderedPageBreak/>
        <w:t xml:space="preserve">This PG requires </w:t>
      </w:r>
      <w:r w:rsidR="009313B3">
        <w:t>fifty-two (</w:t>
      </w:r>
      <w:r>
        <w:t>52</w:t>
      </w:r>
      <w:r w:rsidR="009313B3">
        <w:t>)</w:t>
      </w:r>
      <w:r>
        <w:t xml:space="preserve"> separate measurements. </w:t>
      </w:r>
    </w:p>
    <w:p w14:paraId="37A2CEAD" w14:textId="5AD028A8" w:rsidR="00F054F3" w:rsidRDefault="00A07643" w:rsidP="008C4AF4">
      <w:pPr>
        <w:pStyle w:val="ListParagraph"/>
        <w:numPr>
          <w:ilvl w:val="1"/>
          <w:numId w:val="12"/>
        </w:numPr>
        <w:contextualSpacing w:val="0"/>
      </w:pPr>
      <w:r>
        <w:t>Financial Consequences</w:t>
      </w:r>
      <w:r w:rsidR="00891BA7">
        <w:t xml:space="preserve"> </w:t>
      </w:r>
      <w:r w:rsidR="004435F8">
        <w:t>shall be</w:t>
      </w:r>
      <w:r w:rsidR="00891BA7">
        <w:t xml:space="preserve"> assessed for each of the </w:t>
      </w:r>
      <w:r w:rsidR="009313B3">
        <w:t>fifty-two (</w:t>
      </w:r>
      <w:r w:rsidR="00891BA7">
        <w:t>52</w:t>
      </w:r>
      <w:r w:rsidR="009313B3">
        <w:t>)</w:t>
      </w:r>
      <w:r w:rsidR="00891BA7">
        <w:t xml:space="preserve"> measurements</w:t>
      </w:r>
      <w:r w:rsidR="003F47ED">
        <w:t>, including each access and geographical type</w:t>
      </w:r>
      <w:r w:rsidR="00863D93">
        <w:t xml:space="preserve"> and for each Provider type,</w:t>
      </w:r>
      <w:r w:rsidR="00891BA7">
        <w:t xml:space="preserve"> for which Insurer fails to meet the guarantee. </w:t>
      </w:r>
    </w:p>
    <w:p w14:paraId="4C7C7E41" w14:textId="7503DE23" w:rsidR="006947E4" w:rsidRDefault="00B401E3" w:rsidP="006947E4">
      <w:pPr>
        <w:pStyle w:val="ListParagraph"/>
        <w:numPr>
          <w:ilvl w:val="0"/>
          <w:numId w:val="12"/>
        </w:numPr>
        <w:contextualSpacing w:val="0"/>
      </w:pPr>
      <w:r>
        <w:t xml:space="preserve">The most recent </w:t>
      </w:r>
      <w:r w:rsidR="006947E4">
        <w:t xml:space="preserve">U.S. census data </w:t>
      </w:r>
      <w:r w:rsidR="000D1AFD">
        <w:t xml:space="preserve">available </w:t>
      </w:r>
      <w:r w:rsidR="006947E4">
        <w:t xml:space="preserve">is used to determine whether a county is rural or urban. </w:t>
      </w:r>
    </w:p>
    <w:p w14:paraId="5F0471AE" w14:textId="77777777" w:rsidR="006947E4" w:rsidRDefault="00293729" w:rsidP="006947E4">
      <w:pPr>
        <w:pStyle w:val="ListParagraph"/>
        <w:numPr>
          <w:ilvl w:val="0"/>
          <w:numId w:val="12"/>
        </w:numPr>
        <w:contextualSpacing w:val="0"/>
      </w:pPr>
      <w:r>
        <w:t>For rural measurements, a</w:t>
      </w:r>
      <w:r w:rsidR="006947E4">
        <w:t>ll rural counties in Insurer’s Service Area are included in the measurement, regardless of whether the counties are all in the same Region.</w:t>
      </w:r>
    </w:p>
    <w:p w14:paraId="488A19E5" w14:textId="77777777" w:rsidR="00293729" w:rsidRDefault="00293729" w:rsidP="006947E4">
      <w:pPr>
        <w:pStyle w:val="ListParagraph"/>
        <w:numPr>
          <w:ilvl w:val="0"/>
          <w:numId w:val="12"/>
        </w:numPr>
        <w:contextualSpacing w:val="0"/>
      </w:pPr>
      <w:r>
        <w:t>For urban measurements, all urban counties in Insurer’s Service Area are included in the measurement, regardless of whether the counties are all in the same Region</w:t>
      </w:r>
    </w:p>
    <w:p w14:paraId="75103F6E" w14:textId="77777777" w:rsidR="006947E4" w:rsidRDefault="000A5A2B" w:rsidP="006947E4">
      <w:pPr>
        <w:pStyle w:val="ListParagraph"/>
        <w:numPr>
          <w:ilvl w:val="0"/>
          <w:numId w:val="12"/>
        </w:numPr>
        <w:contextualSpacing w:val="0"/>
      </w:pPr>
      <w:r>
        <w:t>Insurer shall</w:t>
      </w:r>
      <w:r w:rsidR="00AE7777">
        <w:t xml:space="preserve"> use </w:t>
      </w:r>
      <w:r w:rsidR="006947E4">
        <w:t>estimates of actual driving time</w:t>
      </w:r>
      <w:r w:rsidR="00195ADB">
        <w:t xml:space="preserve"> and</w:t>
      </w:r>
      <w:r w:rsidR="00AE7777">
        <w:t xml:space="preserve"> actual driving distance to determine access.</w:t>
      </w:r>
      <w:r w:rsidR="006947E4">
        <w:t xml:space="preserve"> </w:t>
      </w:r>
    </w:p>
    <w:p w14:paraId="0B5E459E" w14:textId="77777777" w:rsidR="006947E4" w:rsidRDefault="006947E4" w:rsidP="006947E4">
      <w:pPr>
        <w:pStyle w:val="ListParagraph"/>
        <w:numPr>
          <w:ilvl w:val="1"/>
          <w:numId w:val="12"/>
        </w:numPr>
        <w:contextualSpacing w:val="0"/>
      </w:pPr>
      <w:r>
        <w:t>Insurer may not use “as-the-crow-flies” methodology for determining driving time</w:t>
      </w:r>
      <w:r w:rsidR="00195ADB">
        <w:t xml:space="preserve"> </w:t>
      </w:r>
      <w:r w:rsidR="00705DF8">
        <w:t>or</w:t>
      </w:r>
      <w:r w:rsidR="00195ADB">
        <w:t xml:space="preserve"> mileage</w:t>
      </w:r>
      <w:r>
        <w:t>.</w:t>
      </w:r>
    </w:p>
    <w:p w14:paraId="3AA16C2E" w14:textId="77777777" w:rsidR="00470297" w:rsidRDefault="00470297" w:rsidP="00470297">
      <w:pPr>
        <w:pStyle w:val="ListParagraph"/>
        <w:numPr>
          <w:ilvl w:val="0"/>
          <w:numId w:val="12"/>
        </w:numPr>
        <w:contextualSpacing w:val="0"/>
      </w:pPr>
      <w:r>
        <w:t xml:space="preserve">The </w:t>
      </w:r>
      <w:r w:rsidR="00F04D9A">
        <w:t xml:space="preserve">PCP </w:t>
      </w:r>
      <w:r>
        <w:t>measureme</w:t>
      </w:r>
      <w:r w:rsidR="00F840CE">
        <w:t>nt</w:t>
      </w:r>
      <w:r w:rsidR="00F04D9A">
        <w:t>s</w:t>
      </w:r>
      <w:r w:rsidR="00F840CE">
        <w:t xml:space="preserve"> should include any non-board-</w:t>
      </w:r>
      <w:r>
        <w:t xml:space="preserve">certified </w:t>
      </w:r>
      <w:r w:rsidR="00F04D9A">
        <w:t>PCP</w:t>
      </w:r>
      <w:r>
        <w:t xml:space="preserve"> for whom FHKC has granted an exception for Insurer’s Network. </w:t>
      </w:r>
    </w:p>
    <w:p w14:paraId="5DBFF9E0" w14:textId="77777777" w:rsidR="00D71265" w:rsidRDefault="00F840CE" w:rsidP="00470297">
      <w:pPr>
        <w:pStyle w:val="ListParagraph"/>
        <w:numPr>
          <w:ilvl w:val="0"/>
          <w:numId w:val="12"/>
        </w:numPr>
        <w:contextualSpacing w:val="0"/>
      </w:pPr>
      <w:r>
        <w:t>The meas</w:t>
      </w:r>
      <w:r w:rsidR="00F0180D">
        <w:t>urement</w:t>
      </w:r>
      <w:r w:rsidR="00066706">
        <w:t>s</w:t>
      </w:r>
      <w:r w:rsidR="00F0180D">
        <w:t xml:space="preserve"> should exclude geographical areas for which Insurer has a current network access waiver</w:t>
      </w:r>
      <w:r w:rsidR="00066240">
        <w:t xml:space="preserve"> for the specified provider type</w:t>
      </w:r>
      <w:r w:rsidR="00F0180D">
        <w:t>.</w:t>
      </w:r>
    </w:p>
    <w:p w14:paraId="6403A9EF" w14:textId="6DBA4EDC" w:rsidR="005B5E2F" w:rsidRPr="005B5E2F" w:rsidRDefault="005B5E2F" w:rsidP="00D71265">
      <w:pPr>
        <w:pStyle w:val="ListParagraph"/>
        <w:numPr>
          <w:ilvl w:val="0"/>
          <w:numId w:val="12"/>
        </w:numPr>
        <w:contextualSpacing w:val="0"/>
      </w:pPr>
      <w:r>
        <w:t>For purposes of determining compliance with this PG and for determining any financial consequences, Insurer shall report the percentage of Enrollees with access within the standard. Performance reported in any other manner, including the percentage or number of Providers within the access standard for ninety percent (90%) of Enrollees is insufficient to meet the requirements of this PG.</w:t>
      </w:r>
    </w:p>
    <w:p w14:paraId="7C570490" w14:textId="0BCD74BA" w:rsidR="0062683C" w:rsidRPr="0062683C" w:rsidRDefault="00A07643" w:rsidP="00D71265">
      <w:pPr>
        <w:pStyle w:val="ListParagraph"/>
        <w:numPr>
          <w:ilvl w:val="0"/>
          <w:numId w:val="12"/>
        </w:numPr>
        <w:contextualSpacing w:val="0"/>
      </w:pPr>
      <w:r>
        <w:rPr>
          <w:rFonts w:cstheme="minorHAnsi"/>
        </w:rPr>
        <w:t>Financial Consequences</w:t>
      </w:r>
      <w:r w:rsidR="00D71265" w:rsidRPr="00EB49FF">
        <w:rPr>
          <w:rFonts w:cstheme="minorHAnsi"/>
        </w:rPr>
        <w:t xml:space="preserve"> </w:t>
      </w:r>
      <w:r w:rsidR="004435F8">
        <w:rPr>
          <w:rFonts w:cstheme="minorHAnsi"/>
        </w:rPr>
        <w:t>shall be</w:t>
      </w:r>
      <w:r w:rsidR="00D71265" w:rsidRPr="00EB49FF">
        <w:rPr>
          <w:rFonts w:cstheme="minorHAnsi"/>
        </w:rPr>
        <w:t xml:space="preserve"> calculated as the difference between the </w:t>
      </w:r>
      <w:r w:rsidR="00EA2100">
        <w:rPr>
          <w:rFonts w:cstheme="minorHAnsi"/>
        </w:rPr>
        <w:t xml:space="preserve">percentage </w:t>
      </w:r>
      <w:r w:rsidR="00D71265" w:rsidRPr="00EB49FF">
        <w:rPr>
          <w:rFonts w:cstheme="minorHAnsi"/>
        </w:rPr>
        <w:t>guarantee</w:t>
      </w:r>
      <w:r w:rsidR="00EA2100">
        <w:rPr>
          <w:rFonts w:cstheme="minorHAnsi"/>
        </w:rPr>
        <w:t>d</w:t>
      </w:r>
      <w:r w:rsidR="00D71265" w:rsidRPr="00EB49FF">
        <w:rPr>
          <w:rFonts w:cstheme="minorHAnsi"/>
        </w:rPr>
        <w:t xml:space="preserve"> and the</w:t>
      </w:r>
      <w:r w:rsidR="00D71265">
        <w:rPr>
          <w:rFonts w:cstheme="minorHAnsi"/>
        </w:rPr>
        <w:t xml:space="preserve"> actual result, multiplied by </w:t>
      </w:r>
      <w:r w:rsidR="005A07EF">
        <w:rPr>
          <w:rFonts w:cstheme="minorHAnsi"/>
        </w:rPr>
        <w:t>one thousand dollars ($1,000)</w:t>
      </w:r>
      <w:r w:rsidR="00C76184">
        <w:rPr>
          <w:rFonts w:cstheme="minorHAnsi"/>
        </w:rPr>
        <w:t xml:space="preserve"> for each provider type, </w:t>
      </w:r>
      <w:r w:rsidR="004552FE">
        <w:rPr>
          <w:rFonts w:cstheme="minorHAnsi"/>
        </w:rPr>
        <w:t>access type</w:t>
      </w:r>
      <w:r w:rsidR="00C76184">
        <w:rPr>
          <w:rFonts w:cstheme="minorHAnsi"/>
        </w:rPr>
        <w:t xml:space="preserve"> and geographical location type</w:t>
      </w:r>
      <w:r w:rsidR="004552FE">
        <w:rPr>
          <w:rFonts w:cstheme="minorHAnsi"/>
        </w:rPr>
        <w:t xml:space="preserve">. </w:t>
      </w:r>
    </w:p>
    <w:p w14:paraId="3156FB41" w14:textId="77777777" w:rsidR="00541E16" w:rsidRPr="00EA2100" w:rsidRDefault="000A5A2B" w:rsidP="008C4AF4">
      <w:pPr>
        <w:pStyle w:val="ListParagraph"/>
        <w:numPr>
          <w:ilvl w:val="1"/>
          <w:numId w:val="12"/>
        </w:numPr>
        <w:contextualSpacing w:val="0"/>
      </w:pPr>
      <w:r>
        <w:rPr>
          <w:rFonts w:cstheme="minorHAnsi"/>
        </w:rPr>
        <w:t>Insurer shall</w:t>
      </w:r>
      <w:r w:rsidR="0062683C">
        <w:rPr>
          <w:rFonts w:cstheme="minorHAnsi"/>
        </w:rPr>
        <w:t xml:space="preserve"> be assessed the sum of the</w:t>
      </w:r>
      <w:r w:rsidR="005F04DC">
        <w:rPr>
          <w:rFonts w:cstheme="minorHAnsi"/>
        </w:rPr>
        <w:t xml:space="preserve"> resulting</w:t>
      </w:r>
      <w:r w:rsidR="0062683C">
        <w:rPr>
          <w:rFonts w:cstheme="minorHAnsi"/>
        </w:rPr>
        <w:t xml:space="preserve"> provider type, access type and geographical location type</w:t>
      </w:r>
      <w:r w:rsidR="005F04DC">
        <w:rPr>
          <w:rFonts w:cstheme="minorHAnsi"/>
        </w:rPr>
        <w:t xml:space="preserve"> </w:t>
      </w:r>
      <w:r w:rsidR="00A07643">
        <w:rPr>
          <w:rFonts w:cstheme="minorHAnsi"/>
        </w:rPr>
        <w:t>financial consequences</w:t>
      </w:r>
      <w:r w:rsidR="005F04DC">
        <w:rPr>
          <w:rFonts w:cstheme="minorHAnsi"/>
        </w:rPr>
        <w:t xml:space="preserve">. </w:t>
      </w:r>
    </w:p>
    <w:p w14:paraId="6B5D594E" w14:textId="0DA114CC" w:rsidR="000469F8" w:rsidRDefault="00143EF5" w:rsidP="000E56E7">
      <w:r w:rsidRPr="00143EF5">
        <w:rPr>
          <w:rFonts w:cstheme="minorHAnsi"/>
          <w:u w:val="single"/>
        </w:rPr>
        <w:t>Related Contract Reference:</w:t>
      </w:r>
      <w:r>
        <w:t xml:space="preserve"> Section 24</w:t>
      </w:r>
    </w:p>
    <w:p w14:paraId="77A7865C" w14:textId="77777777" w:rsidR="000469F8" w:rsidRDefault="000469F8">
      <w:r>
        <w:br w:type="page"/>
      </w:r>
    </w:p>
    <w:p w14:paraId="70F1B8AA" w14:textId="77777777" w:rsidR="009A03D3" w:rsidRPr="000F14E9" w:rsidRDefault="000F14E9" w:rsidP="000F14E9">
      <w:pPr>
        <w:pStyle w:val="ListParagraph"/>
        <w:numPr>
          <w:ilvl w:val="0"/>
          <w:numId w:val="1"/>
        </w:numPr>
      </w:pPr>
      <w:r>
        <w:rPr>
          <w:b/>
        </w:rPr>
        <w:lastRenderedPageBreak/>
        <w:t>Appointment Access Standards</w:t>
      </w:r>
    </w:p>
    <w:p w14:paraId="55FA7760" w14:textId="77777777" w:rsidR="00DA545A" w:rsidRDefault="001269B8" w:rsidP="000F14E9">
      <w:r>
        <w:t xml:space="preserve">Ninety percent (90%) of Enrollees receive appointments within the timeframes required </w:t>
      </w:r>
      <w:r w:rsidR="009D6452">
        <w:t>below</w:t>
      </w:r>
      <w:r w:rsidR="00DA545A">
        <w:t>:</w:t>
      </w:r>
    </w:p>
    <w:tbl>
      <w:tblPr>
        <w:tblStyle w:val="TableGrid"/>
        <w:tblW w:w="0" w:type="auto"/>
        <w:tblLook w:val="04A0" w:firstRow="1" w:lastRow="0" w:firstColumn="1" w:lastColumn="0" w:noHBand="0" w:noVBand="1"/>
      </w:tblPr>
      <w:tblGrid>
        <w:gridCol w:w="4675"/>
        <w:gridCol w:w="4675"/>
      </w:tblGrid>
      <w:tr w:rsidR="005E7B65" w14:paraId="4E29BC89" w14:textId="77777777" w:rsidTr="005E7B65">
        <w:tc>
          <w:tcPr>
            <w:tcW w:w="4675" w:type="dxa"/>
          </w:tcPr>
          <w:p w14:paraId="4C6A4718" w14:textId="2DA205BF" w:rsidR="005E7B65" w:rsidRPr="005B5690" w:rsidRDefault="005E7B65" w:rsidP="000F14E9">
            <w:pPr>
              <w:rPr>
                <w:b/>
              </w:rPr>
            </w:pPr>
            <w:r w:rsidRPr="005B5690">
              <w:rPr>
                <w:b/>
              </w:rPr>
              <w:t>Type of Care</w:t>
            </w:r>
          </w:p>
        </w:tc>
        <w:tc>
          <w:tcPr>
            <w:tcW w:w="4675" w:type="dxa"/>
          </w:tcPr>
          <w:p w14:paraId="24363205" w14:textId="05493D78" w:rsidR="005E7B65" w:rsidRPr="005B5690" w:rsidRDefault="005E7B65" w:rsidP="000F14E9">
            <w:pPr>
              <w:rPr>
                <w:b/>
              </w:rPr>
            </w:pPr>
            <w:r w:rsidRPr="005B5690">
              <w:rPr>
                <w:b/>
              </w:rPr>
              <w:t>Timeframe</w:t>
            </w:r>
          </w:p>
        </w:tc>
      </w:tr>
      <w:tr w:rsidR="005E7B65" w14:paraId="67FF8A9E" w14:textId="77777777" w:rsidTr="005E7B65">
        <w:tc>
          <w:tcPr>
            <w:tcW w:w="4675" w:type="dxa"/>
          </w:tcPr>
          <w:p w14:paraId="3232C1FD" w14:textId="2DE80BC3" w:rsidR="005E7B65" w:rsidRDefault="005E7B65" w:rsidP="000F14E9">
            <w:r>
              <w:t>Emergency</w:t>
            </w:r>
          </w:p>
        </w:tc>
        <w:tc>
          <w:tcPr>
            <w:tcW w:w="4675" w:type="dxa"/>
          </w:tcPr>
          <w:p w14:paraId="6048E82A" w14:textId="697216BB" w:rsidR="005E7B65" w:rsidRDefault="005E7B65" w:rsidP="000F14E9">
            <w:r>
              <w:t>Immediately</w:t>
            </w:r>
          </w:p>
        </w:tc>
      </w:tr>
      <w:tr w:rsidR="005E7B65" w14:paraId="167454FB" w14:textId="77777777" w:rsidTr="005E7B65">
        <w:tc>
          <w:tcPr>
            <w:tcW w:w="4675" w:type="dxa"/>
          </w:tcPr>
          <w:p w14:paraId="5175B6CC" w14:textId="6777615F" w:rsidR="005E7B65" w:rsidRDefault="005E7B65" w:rsidP="000F14E9">
            <w:r>
              <w:t>Urgent</w:t>
            </w:r>
          </w:p>
        </w:tc>
        <w:tc>
          <w:tcPr>
            <w:tcW w:w="4675" w:type="dxa"/>
          </w:tcPr>
          <w:p w14:paraId="2BF2A36D" w14:textId="77E264F9" w:rsidR="005E7B65" w:rsidRDefault="005E7B65" w:rsidP="000F14E9">
            <w:r>
              <w:t>Within twenty-four (24) hours</w:t>
            </w:r>
          </w:p>
        </w:tc>
      </w:tr>
      <w:tr w:rsidR="005E7B65" w14:paraId="6455BC8B" w14:textId="77777777" w:rsidTr="005E7B65">
        <w:tc>
          <w:tcPr>
            <w:tcW w:w="4675" w:type="dxa"/>
          </w:tcPr>
          <w:p w14:paraId="07ECE67F" w14:textId="7BEA7ED4" w:rsidR="005E7B65" w:rsidRDefault="00B5696F" w:rsidP="000F14E9">
            <w:r>
              <w:t>Routine</w:t>
            </w:r>
          </w:p>
        </w:tc>
        <w:tc>
          <w:tcPr>
            <w:tcW w:w="4675" w:type="dxa"/>
          </w:tcPr>
          <w:p w14:paraId="26534A4A" w14:textId="150067B8" w:rsidR="005E7B65" w:rsidRDefault="00B5696F" w:rsidP="000F14E9">
            <w:r>
              <w:t>Seven (7) Calendar Days</w:t>
            </w:r>
          </w:p>
        </w:tc>
      </w:tr>
      <w:tr w:rsidR="005E7B65" w14:paraId="62B92531" w14:textId="77777777" w:rsidTr="005E7B65">
        <w:tc>
          <w:tcPr>
            <w:tcW w:w="4675" w:type="dxa"/>
          </w:tcPr>
          <w:p w14:paraId="482EFB29" w14:textId="51C86EB5" w:rsidR="005E7B65" w:rsidRDefault="00B5696F" w:rsidP="000F14E9">
            <w:r>
              <w:t>Well-child</w:t>
            </w:r>
          </w:p>
        </w:tc>
        <w:tc>
          <w:tcPr>
            <w:tcW w:w="4675" w:type="dxa"/>
          </w:tcPr>
          <w:p w14:paraId="4D66257E" w14:textId="54C3C54B" w:rsidR="005E7B65" w:rsidRDefault="00B5696F" w:rsidP="000F14E9">
            <w:r>
              <w:t>Within four (4) weeks of request</w:t>
            </w:r>
          </w:p>
        </w:tc>
      </w:tr>
      <w:tr w:rsidR="00B5696F" w14:paraId="62AB6A24" w14:textId="77777777" w:rsidTr="005E7B65">
        <w:tc>
          <w:tcPr>
            <w:tcW w:w="4675" w:type="dxa"/>
          </w:tcPr>
          <w:p w14:paraId="3BA88F9F" w14:textId="53051730" w:rsidR="00B5696F" w:rsidRDefault="00B5696F" w:rsidP="000F14E9">
            <w:r>
              <w:t>Follow-up</w:t>
            </w:r>
          </w:p>
        </w:tc>
        <w:tc>
          <w:tcPr>
            <w:tcW w:w="4675" w:type="dxa"/>
          </w:tcPr>
          <w:p w14:paraId="4C9A9DFA" w14:textId="4AFB8D5F" w:rsidR="00B5696F" w:rsidRDefault="00B5696F" w:rsidP="000F14E9">
            <w:r>
              <w:t>As medically appropriate</w:t>
            </w:r>
          </w:p>
        </w:tc>
      </w:tr>
    </w:tbl>
    <w:p w14:paraId="10B8D64D" w14:textId="0B4874DB" w:rsidR="001269B8" w:rsidRDefault="001269B8" w:rsidP="009F22FD">
      <w:pPr>
        <w:spacing w:before="160"/>
      </w:pPr>
      <w:r>
        <w:t xml:space="preserve"> </w:t>
      </w:r>
      <w:r w:rsidR="00A07643">
        <w:rPr>
          <w:rFonts w:cstheme="minorHAnsi"/>
          <w:u w:val="single"/>
        </w:rPr>
        <w:t>Financial Consequences</w:t>
      </w:r>
      <w:r>
        <w:rPr>
          <w:rFonts w:cstheme="minorHAnsi"/>
          <w:u w:val="single"/>
        </w:rPr>
        <w:t>:</w:t>
      </w:r>
      <w:r w:rsidRPr="005F7249">
        <w:t xml:space="preserve"> </w:t>
      </w:r>
      <w:r w:rsidR="005A07EF">
        <w:t>one thousand dollars ($1,000)</w:t>
      </w:r>
      <w:r>
        <w:t xml:space="preserve"> per percentage point below guarantee per measurement.</w:t>
      </w:r>
    </w:p>
    <w:p w14:paraId="1E02074A" w14:textId="77777777" w:rsidR="001269B8" w:rsidRDefault="001269B8" w:rsidP="001269B8">
      <w:pPr>
        <w:rPr>
          <w:u w:val="single"/>
        </w:rPr>
      </w:pPr>
      <w:r>
        <w:rPr>
          <w:u w:val="single"/>
        </w:rPr>
        <w:t>Calculation Methodology</w:t>
      </w:r>
    </w:p>
    <w:p w14:paraId="361F9C65" w14:textId="6FB129AF" w:rsidR="0009540D" w:rsidRDefault="001269B8" w:rsidP="001269B8">
      <w:pPr>
        <w:pStyle w:val="ListParagraph"/>
        <w:numPr>
          <w:ilvl w:val="0"/>
          <w:numId w:val="12"/>
        </w:numPr>
        <w:contextualSpacing w:val="0"/>
      </w:pPr>
      <w:r>
        <w:t>Appointment access shall be determined by Insurer’s internal audit and quality assurance activities</w:t>
      </w:r>
      <w:r w:rsidR="0055225C">
        <w:t>, using</w:t>
      </w:r>
      <w:r w:rsidR="00EE335D">
        <w:t xml:space="preserve"> </w:t>
      </w:r>
      <w:r w:rsidR="00845BE5">
        <w:t xml:space="preserve">appropriate stratification to avoid over or under representation of </w:t>
      </w:r>
      <w:r w:rsidR="00DF2233">
        <w:t>any appointment type</w:t>
      </w:r>
      <w:r>
        <w:t>.</w:t>
      </w:r>
    </w:p>
    <w:p w14:paraId="4EDE6804" w14:textId="4F345834" w:rsidR="001269B8" w:rsidRDefault="0009540D" w:rsidP="001269B8">
      <w:pPr>
        <w:pStyle w:val="ListParagraph"/>
        <w:numPr>
          <w:ilvl w:val="0"/>
          <w:numId w:val="12"/>
        </w:numPr>
        <w:contextualSpacing w:val="0"/>
      </w:pPr>
      <w:r>
        <w:t xml:space="preserve">Appointment access shall be calculated by </w:t>
      </w:r>
      <w:r w:rsidR="00265FA4">
        <w:t xml:space="preserve">dividing the sum of </w:t>
      </w:r>
      <w:r w:rsidR="00A85DC5">
        <w:t>appointments made in a timely manner</w:t>
      </w:r>
      <w:r w:rsidR="00265FA4">
        <w:t xml:space="preserve"> by the sum of total </w:t>
      </w:r>
      <w:r w:rsidR="00A85DC5">
        <w:t>appointments requested</w:t>
      </w:r>
      <w:r w:rsidR="00265FA4">
        <w:t>. Enroll</w:t>
      </w:r>
      <w:r w:rsidR="007D2FC1">
        <w:t xml:space="preserve">ees who are included in the sample multiple times shall be counted as a unique Enrollee for each unique </w:t>
      </w:r>
      <w:r w:rsidR="00A728FD">
        <w:t>record audited.</w:t>
      </w:r>
      <w:r w:rsidR="001269B8">
        <w:t xml:space="preserve"> </w:t>
      </w:r>
    </w:p>
    <w:p w14:paraId="64217DAF" w14:textId="52C83DD5" w:rsidR="00233622" w:rsidRDefault="00A07643" w:rsidP="00233622">
      <w:pPr>
        <w:pStyle w:val="ListParagraph"/>
        <w:numPr>
          <w:ilvl w:val="0"/>
          <w:numId w:val="12"/>
        </w:numPr>
        <w:contextualSpacing w:val="0"/>
      </w:pPr>
      <w:r>
        <w:rPr>
          <w:rFonts w:cstheme="minorHAnsi"/>
        </w:rPr>
        <w:t>Financial Consequences</w:t>
      </w:r>
      <w:r w:rsidR="00233622" w:rsidRPr="00EB49FF">
        <w:rPr>
          <w:rFonts w:cstheme="minorHAnsi"/>
        </w:rPr>
        <w:t xml:space="preserve"> </w:t>
      </w:r>
      <w:r w:rsidR="004435F8">
        <w:rPr>
          <w:rFonts w:cstheme="minorHAnsi"/>
        </w:rPr>
        <w:t>shall be</w:t>
      </w:r>
      <w:r w:rsidR="00233622" w:rsidRPr="00EB49FF">
        <w:rPr>
          <w:rFonts w:cstheme="minorHAnsi"/>
        </w:rPr>
        <w:t xml:space="preserve"> calculated as the difference between the guarantee and the</w:t>
      </w:r>
      <w:r w:rsidR="00233622">
        <w:rPr>
          <w:rFonts w:cstheme="minorHAnsi"/>
        </w:rPr>
        <w:t xml:space="preserve"> actual result, multiplied by </w:t>
      </w:r>
      <w:r w:rsidR="005A07EF">
        <w:rPr>
          <w:rFonts w:cstheme="minorHAnsi"/>
        </w:rPr>
        <w:t>one thousand dollars ($1,000)</w:t>
      </w:r>
      <w:r w:rsidR="00233622">
        <w:rPr>
          <w:rFonts w:cstheme="minorHAnsi"/>
        </w:rPr>
        <w:t xml:space="preserve">. </w:t>
      </w:r>
    </w:p>
    <w:p w14:paraId="73DF9EE1" w14:textId="3386315A" w:rsidR="001269B8" w:rsidRPr="005F7249" w:rsidRDefault="00A3752C" w:rsidP="000F14E9">
      <w:r w:rsidRPr="009E6200">
        <w:rPr>
          <w:rFonts w:cstheme="minorHAnsi"/>
          <w:u w:val="single"/>
        </w:rPr>
        <w:t>Relate</w:t>
      </w:r>
      <w:r>
        <w:rPr>
          <w:rFonts w:cstheme="minorHAnsi"/>
          <w:u w:val="single"/>
        </w:rPr>
        <w:t>d Contract Reference:</w:t>
      </w:r>
      <w:r>
        <w:t xml:space="preserve"> Section 24</w:t>
      </w:r>
    </w:p>
    <w:sectPr w:rsidR="001269B8" w:rsidRPr="005F724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CB269" w14:textId="77777777" w:rsidR="00BE0EF9" w:rsidRDefault="00BE0EF9" w:rsidP="00966473">
      <w:pPr>
        <w:spacing w:after="0" w:line="240" w:lineRule="auto"/>
      </w:pPr>
      <w:r>
        <w:separator/>
      </w:r>
    </w:p>
  </w:endnote>
  <w:endnote w:type="continuationSeparator" w:id="0">
    <w:p w14:paraId="1F136EE9" w14:textId="77777777" w:rsidR="00BE0EF9" w:rsidRDefault="00BE0EF9" w:rsidP="00966473">
      <w:pPr>
        <w:spacing w:after="0" w:line="240" w:lineRule="auto"/>
      </w:pPr>
      <w:r>
        <w:continuationSeparator/>
      </w:r>
    </w:p>
  </w:endnote>
  <w:endnote w:type="continuationNotice" w:id="1">
    <w:p w14:paraId="5EBEEA1F" w14:textId="77777777" w:rsidR="00BE0EF9" w:rsidRDefault="00BE0E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A756C" w14:textId="77777777" w:rsidR="00BE0EF9" w:rsidRDefault="00BE0EF9">
    <w:pPr>
      <w:pStyle w:val="Footer"/>
    </w:pPr>
    <w:r>
      <w:t>Attachment C: Performance Guarantees</w:t>
    </w:r>
  </w:p>
  <w:p w14:paraId="6497B861" w14:textId="08070B98" w:rsidR="00BE0EF9" w:rsidRDefault="00CD5248">
    <w:pPr>
      <w:pStyle w:val="Footer"/>
    </w:pPr>
    <w:r>
      <w:t>Contract No.: 2018 300-01-00</w:t>
    </w:r>
    <w:r w:rsidR="00BE0EF9">
      <w:ptab w:relativeTo="margin" w:alignment="center" w:leader="none"/>
    </w:r>
    <w:r w:rsidR="00BE0EF9">
      <w:ptab w:relativeTo="margin" w:alignment="right" w:leader="none"/>
    </w:r>
    <w:r w:rsidR="00BE0EF9">
      <w:fldChar w:fldCharType="begin"/>
    </w:r>
    <w:r w:rsidR="00BE0EF9">
      <w:instrText xml:space="preserve"> PAGE   \* MERGEFORMAT </w:instrText>
    </w:r>
    <w:r w:rsidR="00BE0EF9">
      <w:fldChar w:fldCharType="separate"/>
    </w:r>
    <w:r>
      <w:rPr>
        <w:noProof/>
      </w:rPr>
      <w:t>2</w:t>
    </w:r>
    <w:r w:rsidR="00BE0EF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81B99" w14:textId="77777777" w:rsidR="00BE0EF9" w:rsidRDefault="00BE0EF9" w:rsidP="00966473">
      <w:pPr>
        <w:spacing w:after="0" w:line="240" w:lineRule="auto"/>
      </w:pPr>
      <w:r>
        <w:separator/>
      </w:r>
    </w:p>
  </w:footnote>
  <w:footnote w:type="continuationSeparator" w:id="0">
    <w:p w14:paraId="272B546F" w14:textId="77777777" w:rsidR="00BE0EF9" w:rsidRDefault="00BE0EF9" w:rsidP="00966473">
      <w:pPr>
        <w:spacing w:after="0" w:line="240" w:lineRule="auto"/>
      </w:pPr>
      <w:r>
        <w:continuationSeparator/>
      </w:r>
    </w:p>
  </w:footnote>
  <w:footnote w:type="continuationNotice" w:id="1">
    <w:p w14:paraId="3B20EC22" w14:textId="77777777" w:rsidR="00BE0EF9" w:rsidRDefault="00BE0EF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02125"/>
    <w:multiLevelType w:val="hybridMultilevel"/>
    <w:tmpl w:val="960E3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52A80"/>
    <w:multiLevelType w:val="hybridMultilevel"/>
    <w:tmpl w:val="38E05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3408D"/>
    <w:multiLevelType w:val="hybridMultilevel"/>
    <w:tmpl w:val="A7781C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77F97"/>
    <w:multiLevelType w:val="hybridMultilevel"/>
    <w:tmpl w:val="990AA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0D7883"/>
    <w:multiLevelType w:val="hybridMultilevel"/>
    <w:tmpl w:val="054460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365D52"/>
    <w:multiLevelType w:val="hybridMultilevel"/>
    <w:tmpl w:val="CEDC8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DF0BA5"/>
    <w:multiLevelType w:val="hybridMultilevel"/>
    <w:tmpl w:val="DEE46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6C6CD2"/>
    <w:multiLevelType w:val="hybridMultilevel"/>
    <w:tmpl w:val="62D89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906889"/>
    <w:multiLevelType w:val="hybridMultilevel"/>
    <w:tmpl w:val="08DAD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AD3275"/>
    <w:multiLevelType w:val="hybridMultilevel"/>
    <w:tmpl w:val="CD921A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C64466"/>
    <w:multiLevelType w:val="hybridMultilevel"/>
    <w:tmpl w:val="9ADC6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E763D1"/>
    <w:multiLevelType w:val="hybridMultilevel"/>
    <w:tmpl w:val="EC5E5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504669"/>
    <w:multiLevelType w:val="hybridMultilevel"/>
    <w:tmpl w:val="B8CAA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1374E8"/>
    <w:multiLevelType w:val="hybridMultilevel"/>
    <w:tmpl w:val="592C4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DD371C"/>
    <w:multiLevelType w:val="hybridMultilevel"/>
    <w:tmpl w:val="BDDE9398"/>
    <w:lvl w:ilvl="0" w:tplc="A8C29168">
      <w:start w:val="1"/>
      <w:numFmt w:val="decimal"/>
      <w:lvlText w:val="PG-%1:"/>
      <w:lvlJc w:val="right"/>
      <w:pPr>
        <w:ind w:left="720" w:hanging="360"/>
      </w:pPr>
      <w:rPr>
        <w:rFonts w:ascii="Calibri" w:hAnsi="Calibri"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D77944"/>
    <w:multiLevelType w:val="hybridMultilevel"/>
    <w:tmpl w:val="4D82CA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9D02F1"/>
    <w:multiLevelType w:val="hybridMultilevel"/>
    <w:tmpl w:val="337A1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317DDA"/>
    <w:multiLevelType w:val="hybridMultilevel"/>
    <w:tmpl w:val="B82E4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995345"/>
    <w:multiLevelType w:val="hybridMultilevel"/>
    <w:tmpl w:val="92204D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num>
  <w:num w:numId="3">
    <w:abstractNumId w:val="3"/>
  </w:num>
  <w:num w:numId="4">
    <w:abstractNumId w:val="4"/>
  </w:num>
  <w:num w:numId="5">
    <w:abstractNumId w:val="13"/>
  </w:num>
  <w:num w:numId="6">
    <w:abstractNumId w:val="15"/>
  </w:num>
  <w:num w:numId="7">
    <w:abstractNumId w:val="11"/>
  </w:num>
  <w:num w:numId="8">
    <w:abstractNumId w:val="17"/>
  </w:num>
  <w:num w:numId="9">
    <w:abstractNumId w:val="0"/>
  </w:num>
  <w:num w:numId="10">
    <w:abstractNumId w:val="7"/>
  </w:num>
  <w:num w:numId="11">
    <w:abstractNumId w:val="1"/>
  </w:num>
  <w:num w:numId="12">
    <w:abstractNumId w:val="5"/>
  </w:num>
  <w:num w:numId="13">
    <w:abstractNumId w:val="2"/>
  </w:num>
  <w:num w:numId="14">
    <w:abstractNumId w:val="18"/>
  </w:num>
  <w:num w:numId="15">
    <w:abstractNumId w:val="9"/>
  </w:num>
  <w:num w:numId="16">
    <w:abstractNumId w:val="10"/>
  </w:num>
  <w:num w:numId="17">
    <w:abstractNumId w:val="12"/>
  </w:num>
  <w:num w:numId="18">
    <w:abstractNumId w:val="16"/>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AllPagesExceptFirst" w:val="True"/>
    <w:docVar w:name="DocIDAuthor" w:val="False"/>
    <w:docVar w:name="DocIDClientMatter" w:val="False"/>
    <w:docVar w:name="DocIDDate" w:val="False"/>
    <w:docVar w:name="DocIDLibrary" w:val="False"/>
    <w:docVar w:name="DocIDType" w:val="AllPagesExceptFirst"/>
    <w:docVar w:name="DocIDTypist" w:val="False"/>
    <w:docVar w:name="LegacyDocIDRemoved" w:val="True"/>
  </w:docVars>
  <w:rsids>
    <w:rsidRoot w:val="00435D15"/>
    <w:rsid w:val="00000DBC"/>
    <w:rsid w:val="0001505B"/>
    <w:rsid w:val="000172BC"/>
    <w:rsid w:val="00027916"/>
    <w:rsid w:val="0003257D"/>
    <w:rsid w:val="00037807"/>
    <w:rsid w:val="00037FDF"/>
    <w:rsid w:val="000469F8"/>
    <w:rsid w:val="00050D8A"/>
    <w:rsid w:val="00057C0D"/>
    <w:rsid w:val="00062F51"/>
    <w:rsid w:val="00066240"/>
    <w:rsid w:val="00066706"/>
    <w:rsid w:val="00072DBB"/>
    <w:rsid w:val="00073392"/>
    <w:rsid w:val="000759F1"/>
    <w:rsid w:val="000802DF"/>
    <w:rsid w:val="00084E2E"/>
    <w:rsid w:val="0009540D"/>
    <w:rsid w:val="000A3C15"/>
    <w:rsid w:val="000A3D9B"/>
    <w:rsid w:val="000A5A2B"/>
    <w:rsid w:val="000B2A42"/>
    <w:rsid w:val="000B567A"/>
    <w:rsid w:val="000C094E"/>
    <w:rsid w:val="000C2D95"/>
    <w:rsid w:val="000D1AFD"/>
    <w:rsid w:val="000D2A47"/>
    <w:rsid w:val="000E56E7"/>
    <w:rsid w:val="000E7969"/>
    <w:rsid w:val="000E79C8"/>
    <w:rsid w:val="000F14E9"/>
    <w:rsid w:val="000F581A"/>
    <w:rsid w:val="000F7931"/>
    <w:rsid w:val="00103A11"/>
    <w:rsid w:val="00111465"/>
    <w:rsid w:val="0012540F"/>
    <w:rsid w:val="001269B8"/>
    <w:rsid w:val="001328BD"/>
    <w:rsid w:val="00135648"/>
    <w:rsid w:val="0013633E"/>
    <w:rsid w:val="0013729D"/>
    <w:rsid w:val="001376BD"/>
    <w:rsid w:val="00141CB8"/>
    <w:rsid w:val="001430E2"/>
    <w:rsid w:val="00143EF5"/>
    <w:rsid w:val="00145F77"/>
    <w:rsid w:val="00153B8E"/>
    <w:rsid w:val="001601BD"/>
    <w:rsid w:val="001700DA"/>
    <w:rsid w:val="00170379"/>
    <w:rsid w:val="001769B4"/>
    <w:rsid w:val="00177464"/>
    <w:rsid w:val="00181B9D"/>
    <w:rsid w:val="00192F07"/>
    <w:rsid w:val="00195ADB"/>
    <w:rsid w:val="001962E8"/>
    <w:rsid w:val="001A2FE6"/>
    <w:rsid w:val="001A7065"/>
    <w:rsid w:val="001B0A84"/>
    <w:rsid w:val="001B2965"/>
    <w:rsid w:val="001B34F8"/>
    <w:rsid w:val="001B61D1"/>
    <w:rsid w:val="001B757A"/>
    <w:rsid w:val="001C041B"/>
    <w:rsid w:val="001C06EE"/>
    <w:rsid w:val="001C45E0"/>
    <w:rsid w:val="001D1021"/>
    <w:rsid w:val="001D289C"/>
    <w:rsid w:val="001D38F4"/>
    <w:rsid w:val="001E2EB0"/>
    <w:rsid w:val="001E3022"/>
    <w:rsid w:val="001E72A0"/>
    <w:rsid w:val="001F316A"/>
    <w:rsid w:val="00201209"/>
    <w:rsid w:val="0020337B"/>
    <w:rsid w:val="00207F21"/>
    <w:rsid w:val="002102C6"/>
    <w:rsid w:val="00212074"/>
    <w:rsid w:val="00215027"/>
    <w:rsid w:val="00232434"/>
    <w:rsid w:val="00233622"/>
    <w:rsid w:val="00234268"/>
    <w:rsid w:val="0023704B"/>
    <w:rsid w:val="00240AE0"/>
    <w:rsid w:val="00242ABB"/>
    <w:rsid w:val="00255A3E"/>
    <w:rsid w:val="00265FA4"/>
    <w:rsid w:val="0026642A"/>
    <w:rsid w:val="00270DD6"/>
    <w:rsid w:val="002823D7"/>
    <w:rsid w:val="002850FA"/>
    <w:rsid w:val="002916BF"/>
    <w:rsid w:val="00291C1B"/>
    <w:rsid w:val="0029303B"/>
    <w:rsid w:val="00293331"/>
    <w:rsid w:val="00293729"/>
    <w:rsid w:val="00293F84"/>
    <w:rsid w:val="002A220C"/>
    <w:rsid w:val="002B6BDF"/>
    <w:rsid w:val="002C2161"/>
    <w:rsid w:val="002C4EEA"/>
    <w:rsid w:val="002C4FC4"/>
    <w:rsid w:val="002C5A41"/>
    <w:rsid w:val="002D500E"/>
    <w:rsid w:val="002D5017"/>
    <w:rsid w:val="002E4712"/>
    <w:rsid w:val="002E54D1"/>
    <w:rsid w:val="002F6533"/>
    <w:rsid w:val="00304107"/>
    <w:rsid w:val="00310E07"/>
    <w:rsid w:val="003140F3"/>
    <w:rsid w:val="00322F22"/>
    <w:rsid w:val="00325208"/>
    <w:rsid w:val="00332ECE"/>
    <w:rsid w:val="00334CAE"/>
    <w:rsid w:val="00335E6F"/>
    <w:rsid w:val="0033635D"/>
    <w:rsid w:val="00337D82"/>
    <w:rsid w:val="003427EE"/>
    <w:rsid w:val="00351688"/>
    <w:rsid w:val="00364CEB"/>
    <w:rsid w:val="00370CE0"/>
    <w:rsid w:val="003828D9"/>
    <w:rsid w:val="00395181"/>
    <w:rsid w:val="003A0ABB"/>
    <w:rsid w:val="003B24AB"/>
    <w:rsid w:val="003B666C"/>
    <w:rsid w:val="003C104E"/>
    <w:rsid w:val="003C4D7D"/>
    <w:rsid w:val="003C5052"/>
    <w:rsid w:val="003E0DC3"/>
    <w:rsid w:val="003F4500"/>
    <w:rsid w:val="003F47ED"/>
    <w:rsid w:val="0040089D"/>
    <w:rsid w:val="00401377"/>
    <w:rsid w:val="00402092"/>
    <w:rsid w:val="004033F7"/>
    <w:rsid w:val="0041112D"/>
    <w:rsid w:val="004139F0"/>
    <w:rsid w:val="004143CE"/>
    <w:rsid w:val="00417F78"/>
    <w:rsid w:val="00425E30"/>
    <w:rsid w:val="004319D2"/>
    <w:rsid w:val="00435A86"/>
    <w:rsid w:val="00435D15"/>
    <w:rsid w:val="00436787"/>
    <w:rsid w:val="004410A6"/>
    <w:rsid w:val="00442291"/>
    <w:rsid w:val="004435F8"/>
    <w:rsid w:val="0044392A"/>
    <w:rsid w:val="004552FE"/>
    <w:rsid w:val="00457AFD"/>
    <w:rsid w:val="0046321B"/>
    <w:rsid w:val="0046402F"/>
    <w:rsid w:val="00466C75"/>
    <w:rsid w:val="00470297"/>
    <w:rsid w:val="00474A6E"/>
    <w:rsid w:val="004840B2"/>
    <w:rsid w:val="00486660"/>
    <w:rsid w:val="00486CFD"/>
    <w:rsid w:val="004A30C2"/>
    <w:rsid w:val="004B05CB"/>
    <w:rsid w:val="004B2237"/>
    <w:rsid w:val="004B33B1"/>
    <w:rsid w:val="004B54CA"/>
    <w:rsid w:val="004B5852"/>
    <w:rsid w:val="004C19F8"/>
    <w:rsid w:val="004C2EFC"/>
    <w:rsid w:val="004C62E5"/>
    <w:rsid w:val="004D3851"/>
    <w:rsid w:val="004D3C7F"/>
    <w:rsid w:val="004D47AA"/>
    <w:rsid w:val="004D736F"/>
    <w:rsid w:val="004E1D27"/>
    <w:rsid w:val="004E1EAB"/>
    <w:rsid w:val="004E212B"/>
    <w:rsid w:val="004E35EB"/>
    <w:rsid w:val="004E39F4"/>
    <w:rsid w:val="004E5A37"/>
    <w:rsid w:val="004F1B0C"/>
    <w:rsid w:val="004F26DA"/>
    <w:rsid w:val="004F3856"/>
    <w:rsid w:val="004F4AEC"/>
    <w:rsid w:val="005012AA"/>
    <w:rsid w:val="00504951"/>
    <w:rsid w:val="00507029"/>
    <w:rsid w:val="00517044"/>
    <w:rsid w:val="005202B0"/>
    <w:rsid w:val="00520AE4"/>
    <w:rsid w:val="00522D91"/>
    <w:rsid w:val="005274BF"/>
    <w:rsid w:val="005278D4"/>
    <w:rsid w:val="00530FDB"/>
    <w:rsid w:val="00537F8C"/>
    <w:rsid w:val="00541E16"/>
    <w:rsid w:val="00544350"/>
    <w:rsid w:val="005466E4"/>
    <w:rsid w:val="00547429"/>
    <w:rsid w:val="00550C1E"/>
    <w:rsid w:val="0055225C"/>
    <w:rsid w:val="00552E79"/>
    <w:rsid w:val="00555A38"/>
    <w:rsid w:val="0055646F"/>
    <w:rsid w:val="00556781"/>
    <w:rsid w:val="00560316"/>
    <w:rsid w:val="0056475E"/>
    <w:rsid w:val="00565123"/>
    <w:rsid w:val="0056681D"/>
    <w:rsid w:val="005740D2"/>
    <w:rsid w:val="005803EB"/>
    <w:rsid w:val="00590CC6"/>
    <w:rsid w:val="0059204D"/>
    <w:rsid w:val="00592699"/>
    <w:rsid w:val="00592C10"/>
    <w:rsid w:val="005A07EF"/>
    <w:rsid w:val="005A0B1D"/>
    <w:rsid w:val="005A174D"/>
    <w:rsid w:val="005A1E36"/>
    <w:rsid w:val="005A74A3"/>
    <w:rsid w:val="005A79E2"/>
    <w:rsid w:val="005B375E"/>
    <w:rsid w:val="005B5690"/>
    <w:rsid w:val="005B5E2F"/>
    <w:rsid w:val="005B6D68"/>
    <w:rsid w:val="005C5EF9"/>
    <w:rsid w:val="005D639E"/>
    <w:rsid w:val="005D6B75"/>
    <w:rsid w:val="005E0B35"/>
    <w:rsid w:val="005E44D7"/>
    <w:rsid w:val="005E7B65"/>
    <w:rsid w:val="005F04DC"/>
    <w:rsid w:val="005F24E6"/>
    <w:rsid w:val="005F2AB0"/>
    <w:rsid w:val="005F57A0"/>
    <w:rsid w:val="005F6AC2"/>
    <w:rsid w:val="005F7249"/>
    <w:rsid w:val="0060132B"/>
    <w:rsid w:val="00605C0B"/>
    <w:rsid w:val="00621B50"/>
    <w:rsid w:val="0062683C"/>
    <w:rsid w:val="00630DC2"/>
    <w:rsid w:val="00631A94"/>
    <w:rsid w:val="00632F56"/>
    <w:rsid w:val="0064035D"/>
    <w:rsid w:val="00640460"/>
    <w:rsid w:val="0064251E"/>
    <w:rsid w:val="00646696"/>
    <w:rsid w:val="00655049"/>
    <w:rsid w:val="0065623A"/>
    <w:rsid w:val="006563D6"/>
    <w:rsid w:val="006575F9"/>
    <w:rsid w:val="00661005"/>
    <w:rsid w:val="00662052"/>
    <w:rsid w:val="006672F5"/>
    <w:rsid w:val="00671EE8"/>
    <w:rsid w:val="00672F38"/>
    <w:rsid w:val="0068031B"/>
    <w:rsid w:val="006858C5"/>
    <w:rsid w:val="00686B57"/>
    <w:rsid w:val="00692F0A"/>
    <w:rsid w:val="00693DF3"/>
    <w:rsid w:val="006947E4"/>
    <w:rsid w:val="006A48F1"/>
    <w:rsid w:val="006A67C8"/>
    <w:rsid w:val="006A67EF"/>
    <w:rsid w:val="006A7800"/>
    <w:rsid w:val="006B6246"/>
    <w:rsid w:val="006D372B"/>
    <w:rsid w:val="006D6E65"/>
    <w:rsid w:val="006E1A0F"/>
    <w:rsid w:val="006E3C0A"/>
    <w:rsid w:val="006F0F9B"/>
    <w:rsid w:val="006F670D"/>
    <w:rsid w:val="006F7099"/>
    <w:rsid w:val="00705C21"/>
    <w:rsid w:val="00705DF8"/>
    <w:rsid w:val="00705F1A"/>
    <w:rsid w:val="00711D92"/>
    <w:rsid w:val="007153E3"/>
    <w:rsid w:val="00716465"/>
    <w:rsid w:val="00717E2C"/>
    <w:rsid w:val="00726D97"/>
    <w:rsid w:val="00733D5D"/>
    <w:rsid w:val="007432E2"/>
    <w:rsid w:val="00745B3A"/>
    <w:rsid w:val="0074672B"/>
    <w:rsid w:val="00761249"/>
    <w:rsid w:val="007633DC"/>
    <w:rsid w:val="0076587C"/>
    <w:rsid w:val="00765CB5"/>
    <w:rsid w:val="0077213D"/>
    <w:rsid w:val="00772BC0"/>
    <w:rsid w:val="00773F0D"/>
    <w:rsid w:val="0077498B"/>
    <w:rsid w:val="00782E29"/>
    <w:rsid w:val="0078699A"/>
    <w:rsid w:val="007A23F4"/>
    <w:rsid w:val="007A33B3"/>
    <w:rsid w:val="007A3DCD"/>
    <w:rsid w:val="007A43EE"/>
    <w:rsid w:val="007A43F2"/>
    <w:rsid w:val="007B07AD"/>
    <w:rsid w:val="007B1A8F"/>
    <w:rsid w:val="007B3173"/>
    <w:rsid w:val="007B5A5B"/>
    <w:rsid w:val="007B5F05"/>
    <w:rsid w:val="007B760B"/>
    <w:rsid w:val="007C0B96"/>
    <w:rsid w:val="007C101B"/>
    <w:rsid w:val="007C2F1F"/>
    <w:rsid w:val="007C3DB0"/>
    <w:rsid w:val="007D12FF"/>
    <w:rsid w:val="007D1C7F"/>
    <w:rsid w:val="007D2FC1"/>
    <w:rsid w:val="007D41B3"/>
    <w:rsid w:val="007D4206"/>
    <w:rsid w:val="007D484D"/>
    <w:rsid w:val="007D66B1"/>
    <w:rsid w:val="007E1628"/>
    <w:rsid w:val="007E4B93"/>
    <w:rsid w:val="007E5957"/>
    <w:rsid w:val="007E5BA4"/>
    <w:rsid w:val="007E6D40"/>
    <w:rsid w:val="00800765"/>
    <w:rsid w:val="008115AF"/>
    <w:rsid w:val="00815665"/>
    <w:rsid w:val="00815A26"/>
    <w:rsid w:val="0082381A"/>
    <w:rsid w:val="008241C1"/>
    <w:rsid w:val="00830B91"/>
    <w:rsid w:val="008350EE"/>
    <w:rsid w:val="008363E3"/>
    <w:rsid w:val="00837F27"/>
    <w:rsid w:val="00842A8D"/>
    <w:rsid w:val="00844214"/>
    <w:rsid w:val="00845BE5"/>
    <w:rsid w:val="00846106"/>
    <w:rsid w:val="00846D48"/>
    <w:rsid w:val="008540FE"/>
    <w:rsid w:val="0085480B"/>
    <w:rsid w:val="00856B41"/>
    <w:rsid w:val="00861E25"/>
    <w:rsid w:val="00863D93"/>
    <w:rsid w:val="00864D55"/>
    <w:rsid w:val="008657A1"/>
    <w:rsid w:val="0087127E"/>
    <w:rsid w:val="00871608"/>
    <w:rsid w:val="0087334D"/>
    <w:rsid w:val="008749BF"/>
    <w:rsid w:val="00874A31"/>
    <w:rsid w:val="0087613D"/>
    <w:rsid w:val="00890208"/>
    <w:rsid w:val="00890688"/>
    <w:rsid w:val="00890B77"/>
    <w:rsid w:val="00891BA7"/>
    <w:rsid w:val="008967AD"/>
    <w:rsid w:val="008974F8"/>
    <w:rsid w:val="008A5862"/>
    <w:rsid w:val="008B425C"/>
    <w:rsid w:val="008B567F"/>
    <w:rsid w:val="008C2724"/>
    <w:rsid w:val="008C2839"/>
    <w:rsid w:val="008C32B6"/>
    <w:rsid w:val="008C4AF4"/>
    <w:rsid w:val="008D0A3F"/>
    <w:rsid w:val="008D1490"/>
    <w:rsid w:val="008D3BD6"/>
    <w:rsid w:val="008D4194"/>
    <w:rsid w:val="008D6655"/>
    <w:rsid w:val="008E3C07"/>
    <w:rsid w:val="008F1A86"/>
    <w:rsid w:val="008F3A2C"/>
    <w:rsid w:val="00900765"/>
    <w:rsid w:val="00904134"/>
    <w:rsid w:val="00922454"/>
    <w:rsid w:val="00930501"/>
    <w:rsid w:val="009313B3"/>
    <w:rsid w:val="009367B7"/>
    <w:rsid w:val="0094455D"/>
    <w:rsid w:val="009450E5"/>
    <w:rsid w:val="009464CD"/>
    <w:rsid w:val="00947688"/>
    <w:rsid w:val="0095062B"/>
    <w:rsid w:val="009518E0"/>
    <w:rsid w:val="00951982"/>
    <w:rsid w:val="00960BFF"/>
    <w:rsid w:val="00962CC8"/>
    <w:rsid w:val="009641B2"/>
    <w:rsid w:val="00966473"/>
    <w:rsid w:val="009671CA"/>
    <w:rsid w:val="00967386"/>
    <w:rsid w:val="00970367"/>
    <w:rsid w:val="00971D8B"/>
    <w:rsid w:val="00975D6F"/>
    <w:rsid w:val="009776A7"/>
    <w:rsid w:val="0098349C"/>
    <w:rsid w:val="00983662"/>
    <w:rsid w:val="00985882"/>
    <w:rsid w:val="00985EB9"/>
    <w:rsid w:val="009921F1"/>
    <w:rsid w:val="009952E9"/>
    <w:rsid w:val="00996F7B"/>
    <w:rsid w:val="009A03D3"/>
    <w:rsid w:val="009A4807"/>
    <w:rsid w:val="009A494F"/>
    <w:rsid w:val="009A6846"/>
    <w:rsid w:val="009B1C25"/>
    <w:rsid w:val="009C1D69"/>
    <w:rsid w:val="009C3330"/>
    <w:rsid w:val="009C440D"/>
    <w:rsid w:val="009C4639"/>
    <w:rsid w:val="009D2654"/>
    <w:rsid w:val="009D4050"/>
    <w:rsid w:val="009D6452"/>
    <w:rsid w:val="009E1D6E"/>
    <w:rsid w:val="009E2103"/>
    <w:rsid w:val="009E29B5"/>
    <w:rsid w:val="009E32D9"/>
    <w:rsid w:val="009E6200"/>
    <w:rsid w:val="009E6CFA"/>
    <w:rsid w:val="009F22FD"/>
    <w:rsid w:val="009F4D1B"/>
    <w:rsid w:val="009F4FC6"/>
    <w:rsid w:val="009F71C4"/>
    <w:rsid w:val="009F74AA"/>
    <w:rsid w:val="009F7F6B"/>
    <w:rsid w:val="00A004BF"/>
    <w:rsid w:val="00A01F35"/>
    <w:rsid w:val="00A02370"/>
    <w:rsid w:val="00A02719"/>
    <w:rsid w:val="00A0500B"/>
    <w:rsid w:val="00A07643"/>
    <w:rsid w:val="00A10738"/>
    <w:rsid w:val="00A14905"/>
    <w:rsid w:val="00A14EC4"/>
    <w:rsid w:val="00A22926"/>
    <w:rsid w:val="00A2370B"/>
    <w:rsid w:val="00A31282"/>
    <w:rsid w:val="00A3752C"/>
    <w:rsid w:val="00A432B7"/>
    <w:rsid w:val="00A4533E"/>
    <w:rsid w:val="00A533B2"/>
    <w:rsid w:val="00A57488"/>
    <w:rsid w:val="00A61881"/>
    <w:rsid w:val="00A671FD"/>
    <w:rsid w:val="00A728FD"/>
    <w:rsid w:val="00A85DC5"/>
    <w:rsid w:val="00A86497"/>
    <w:rsid w:val="00A93929"/>
    <w:rsid w:val="00A95410"/>
    <w:rsid w:val="00AA21FF"/>
    <w:rsid w:val="00AA33CA"/>
    <w:rsid w:val="00AA43D0"/>
    <w:rsid w:val="00AA5925"/>
    <w:rsid w:val="00AA7B95"/>
    <w:rsid w:val="00AB049A"/>
    <w:rsid w:val="00AB5C66"/>
    <w:rsid w:val="00AB60DC"/>
    <w:rsid w:val="00AB638A"/>
    <w:rsid w:val="00AC5884"/>
    <w:rsid w:val="00AD102D"/>
    <w:rsid w:val="00AD257F"/>
    <w:rsid w:val="00AD7DD7"/>
    <w:rsid w:val="00AE2A0A"/>
    <w:rsid w:val="00AE63A5"/>
    <w:rsid w:val="00AE7777"/>
    <w:rsid w:val="00AE77F2"/>
    <w:rsid w:val="00AF1C5E"/>
    <w:rsid w:val="00AF48F0"/>
    <w:rsid w:val="00B01B75"/>
    <w:rsid w:val="00B01FA9"/>
    <w:rsid w:val="00B02D22"/>
    <w:rsid w:val="00B0608B"/>
    <w:rsid w:val="00B06EC5"/>
    <w:rsid w:val="00B14E3F"/>
    <w:rsid w:val="00B316FF"/>
    <w:rsid w:val="00B31E9B"/>
    <w:rsid w:val="00B32371"/>
    <w:rsid w:val="00B37D5E"/>
    <w:rsid w:val="00B37FDF"/>
    <w:rsid w:val="00B401E3"/>
    <w:rsid w:val="00B44281"/>
    <w:rsid w:val="00B524F3"/>
    <w:rsid w:val="00B52A04"/>
    <w:rsid w:val="00B5432C"/>
    <w:rsid w:val="00B54F87"/>
    <w:rsid w:val="00B5696F"/>
    <w:rsid w:val="00B64976"/>
    <w:rsid w:val="00B65689"/>
    <w:rsid w:val="00B67F35"/>
    <w:rsid w:val="00B70261"/>
    <w:rsid w:val="00B711A4"/>
    <w:rsid w:val="00B743CB"/>
    <w:rsid w:val="00B74598"/>
    <w:rsid w:val="00B74E48"/>
    <w:rsid w:val="00BA607C"/>
    <w:rsid w:val="00BB4B6D"/>
    <w:rsid w:val="00BC1196"/>
    <w:rsid w:val="00BD19A5"/>
    <w:rsid w:val="00BD25FC"/>
    <w:rsid w:val="00BE0EF9"/>
    <w:rsid w:val="00BE19F2"/>
    <w:rsid w:val="00BE6D67"/>
    <w:rsid w:val="00BE7A85"/>
    <w:rsid w:val="00BF07D5"/>
    <w:rsid w:val="00BF3C17"/>
    <w:rsid w:val="00BF6D2E"/>
    <w:rsid w:val="00C00C62"/>
    <w:rsid w:val="00C04026"/>
    <w:rsid w:val="00C04452"/>
    <w:rsid w:val="00C06D53"/>
    <w:rsid w:val="00C1381E"/>
    <w:rsid w:val="00C165DC"/>
    <w:rsid w:val="00C16C63"/>
    <w:rsid w:val="00C16F9B"/>
    <w:rsid w:val="00C179B1"/>
    <w:rsid w:val="00C30CC7"/>
    <w:rsid w:val="00C3238B"/>
    <w:rsid w:val="00C43B00"/>
    <w:rsid w:val="00C516C1"/>
    <w:rsid w:val="00C5187D"/>
    <w:rsid w:val="00C52F46"/>
    <w:rsid w:val="00C62EC4"/>
    <w:rsid w:val="00C702E2"/>
    <w:rsid w:val="00C7200F"/>
    <w:rsid w:val="00C72B17"/>
    <w:rsid w:val="00C748D7"/>
    <w:rsid w:val="00C75F79"/>
    <w:rsid w:val="00C76184"/>
    <w:rsid w:val="00C81375"/>
    <w:rsid w:val="00C959A6"/>
    <w:rsid w:val="00CA068C"/>
    <w:rsid w:val="00CA1CC9"/>
    <w:rsid w:val="00CA7ABD"/>
    <w:rsid w:val="00CC4048"/>
    <w:rsid w:val="00CD4739"/>
    <w:rsid w:val="00CD5248"/>
    <w:rsid w:val="00CD5867"/>
    <w:rsid w:val="00CD727B"/>
    <w:rsid w:val="00CE0429"/>
    <w:rsid w:val="00CE4B59"/>
    <w:rsid w:val="00CE5FB2"/>
    <w:rsid w:val="00CF17FF"/>
    <w:rsid w:val="00CF3DCA"/>
    <w:rsid w:val="00D01E60"/>
    <w:rsid w:val="00D02EEC"/>
    <w:rsid w:val="00D12668"/>
    <w:rsid w:val="00D12C17"/>
    <w:rsid w:val="00D15CED"/>
    <w:rsid w:val="00D1733D"/>
    <w:rsid w:val="00D176BD"/>
    <w:rsid w:val="00D177AB"/>
    <w:rsid w:val="00D17A33"/>
    <w:rsid w:val="00D24133"/>
    <w:rsid w:val="00D325BF"/>
    <w:rsid w:val="00D3466E"/>
    <w:rsid w:val="00D427CB"/>
    <w:rsid w:val="00D549A3"/>
    <w:rsid w:val="00D57C97"/>
    <w:rsid w:val="00D61E88"/>
    <w:rsid w:val="00D704D8"/>
    <w:rsid w:val="00D71265"/>
    <w:rsid w:val="00D7186D"/>
    <w:rsid w:val="00D77D86"/>
    <w:rsid w:val="00D843F4"/>
    <w:rsid w:val="00D85445"/>
    <w:rsid w:val="00D8686E"/>
    <w:rsid w:val="00D924DD"/>
    <w:rsid w:val="00D93625"/>
    <w:rsid w:val="00D94FB9"/>
    <w:rsid w:val="00D95DD2"/>
    <w:rsid w:val="00DA422C"/>
    <w:rsid w:val="00DA4E8A"/>
    <w:rsid w:val="00DA545A"/>
    <w:rsid w:val="00DB0F99"/>
    <w:rsid w:val="00DC2011"/>
    <w:rsid w:val="00DC601B"/>
    <w:rsid w:val="00DC7D7C"/>
    <w:rsid w:val="00DE208A"/>
    <w:rsid w:val="00DE4C18"/>
    <w:rsid w:val="00DE7B6E"/>
    <w:rsid w:val="00DF2233"/>
    <w:rsid w:val="00DF391D"/>
    <w:rsid w:val="00E01816"/>
    <w:rsid w:val="00E04313"/>
    <w:rsid w:val="00E051E3"/>
    <w:rsid w:val="00E07DF5"/>
    <w:rsid w:val="00E10376"/>
    <w:rsid w:val="00E10C8B"/>
    <w:rsid w:val="00E14A52"/>
    <w:rsid w:val="00E24D25"/>
    <w:rsid w:val="00E25012"/>
    <w:rsid w:val="00E27347"/>
    <w:rsid w:val="00E314F4"/>
    <w:rsid w:val="00E3313E"/>
    <w:rsid w:val="00E40624"/>
    <w:rsid w:val="00E408D4"/>
    <w:rsid w:val="00E4317E"/>
    <w:rsid w:val="00E4429F"/>
    <w:rsid w:val="00E620FB"/>
    <w:rsid w:val="00E652BB"/>
    <w:rsid w:val="00E67908"/>
    <w:rsid w:val="00E70A13"/>
    <w:rsid w:val="00E7168D"/>
    <w:rsid w:val="00E73C6E"/>
    <w:rsid w:val="00E74A12"/>
    <w:rsid w:val="00E85479"/>
    <w:rsid w:val="00E95E64"/>
    <w:rsid w:val="00EA1E0F"/>
    <w:rsid w:val="00EA2100"/>
    <w:rsid w:val="00EA67BE"/>
    <w:rsid w:val="00EA7C56"/>
    <w:rsid w:val="00EA7F47"/>
    <w:rsid w:val="00EB49FF"/>
    <w:rsid w:val="00EB62A0"/>
    <w:rsid w:val="00EC13B7"/>
    <w:rsid w:val="00EC2056"/>
    <w:rsid w:val="00EC6016"/>
    <w:rsid w:val="00EC7112"/>
    <w:rsid w:val="00ED04F0"/>
    <w:rsid w:val="00ED0C21"/>
    <w:rsid w:val="00ED6566"/>
    <w:rsid w:val="00EE335D"/>
    <w:rsid w:val="00EE3D0D"/>
    <w:rsid w:val="00EF01E6"/>
    <w:rsid w:val="00EF188F"/>
    <w:rsid w:val="00F0180D"/>
    <w:rsid w:val="00F04D9A"/>
    <w:rsid w:val="00F054F3"/>
    <w:rsid w:val="00F061C1"/>
    <w:rsid w:val="00F11802"/>
    <w:rsid w:val="00F15F4B"/>
    <w:rsid w:val="00F2045D"/>
    <w:rsid w:val="00F20A72"/>
    <w:rsid w:val="00F26ADB"/>
    <w:rsid w:val="00F31950"/>
    <w:rsid w:val="00F32796"/>
    <w:rsid w:val="00F359C5"/>
    <w:rsid w:val="00F36E3C"/>
    <w:rsid w:val="00F37383"/>
    <w:rsid w:val="00F418F8"/>
    <w:rsid w:val="00F436CB"/>
    <w:rsid w:val="00F44366"/>
    <w:rsid w:val="00F51EA7"/>
    <w:rsid w:val="00F54CE8"/>
    <w:rsid w:val="00F6318D"/>
    <w:rsid w:val="00F6356F"/>
    <w:rsid w:val="00F65056"/>
    <w:rsid w:val="00F70114"/>
    <w:rsid w:val="00F71261"/>
    <w:rsid w:val="00F717A6"/>
    <w:rsid w:val="00F72A67"/>
    <w:rsid w:val="00F76C2D"/>
    <w:rsid w:val="00F83B78"/>
    <w:rsid w:val="00F840CE"/>
    <w:rsid w:val="00F849B9"/>
    <w:rsid w:val="00F85BBF"/>
    <w:rsid w:val="00F85F2A"/>
    <w:rsid w:val="00F8691F"/>
    <w:rsid w:val="00F94916"/>
    <w:rsid w:val="00F95559"/>
    <w:rsid w:val="00F96ECD"/>
    <w:rsid w:val="00FB058B"/>
    <w:rsid w:val="00FB42BE"/>
    <w:rsid w:val="00FB4C6E"/>
    <w:rsid w:val="00FB6B6A"/>
    <w:rsid w:val="00FC324B"/>
    <w:rsid w:val="00FD1601"/>
    <w:rsid w:val="00FD4390"/>
    <w:rsid w:val="00FE03E4"/>
    <w:rsid w:val="00FF4667"/>
    <w:rsid w:val="00FF4D6F"/>
    <w:rsid w:val="00FF73ED"/>
    <w:rsid w:val="00FF7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92B71DF"/>
  <w15:chartTrackingRefBased/>
  <w15:docId w15:val="{B479205E-ED79-4583-98CA-4501D12CD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5D15"/>
    <w:rPr>
      <w:sz w:val="24"/>
      <w:szCs w:val="24"/>
    </w:rPr>
  </w:style>
  <w:style w:type="paragraph" w:styleId="Heading1">
    <w:name w:val="heading 1"/>
    <w:basedOn w:val="Normal"/>
    <w:next w:val="Normal"/>
    <w:link w:val="Heading1Char"/>
    <w:uiPriority w:val="9"/>
    <w:qFormat/>
    <w:rsid w:val="00565123"/>
    <w:pPr>
      <w:keepNext/>
      <w:keepLines/>
      <w:spacing w:after="240"/>
      <w:outlineLvl w:val="0"/>
    </w:pPr>
    <w:rPr>
      <w:rFonts w:ascii="Calibri" w:eastAsiaTheme="majorEastAsia" w:hAnsi="Calibri"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GTitle">
    <w:name w:val="PG Title"/>
    <w:basedOn w:val="Normal"/>
    <w:link w:val="PGTitleChar"/>
    <w:rsid w:val="00435D15"/>
    <w:rPr>
      <w:b/>
    </w:rPr>
  </w:style>
  <w:style w:type="paragraph" w:styleId="ListParagraph">
    <w:name w:val="List Paragraph"/>
    <w:basedOn w:val="Normal"/>
    <w:uiPriority w:val="34"/>
    <w:qFormat/>
    <w:rsid w:val="00B5432C"/>
    <w:pPr>
      <w:ind w:left="720"/>
      <w:contextualSpacing/>
    </w:pPr>
  </w:style>
  <w:style w:type="character" w:customStyle="1" w:styleId="PGTitleChar">
    <w:name w:val="PG Title Char"/>
    <w:basedOn w:val="DefaultParagraphFont"/>
    <w:link w:val="PGTitle"/>
    <w:rsid w:val="00435D15"/>
    <w:rPr>
      <w:b/>
      <w:sz w:val="24"/>
      <w:szCs w:val="24"/>
    </w:rPr>
  </w:style>
  <w:style w:type="table" w:customStyle="1" w:styleId="TableGrid1">
    <w:name w:val="Table Grid1"/>
    <w:basedOn w:val="TableNormal"/>
    <w:next w:val="TableGrid"/>
    <w:uiPriority w:val="39"/>
    <w:rsid w:val="00455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55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E2EB0"/>
    <w:rPr>
      <w:sz w:val="16"/>
      <w:szCs w:val="16"/>
    </w:rPr>
  </w:style>
  <w:style w:type="paragraph" w:styleId="CommentText">
    <w:name w:val="annotation text"/>
    <w:basedOn w:val="Normal"/>
    <w:link w:val="CommentTextChar"/>
    <w:uiPriority w:val="99"/>
    <w:semiHidden/>
    <w:unhideWhenUsed/>
    <w:rsid w:val="001E2EB0"/>
    <w:pPr>
      <w:spacing w:line="240" w:lineRule="auto"/>
    </w:pPr>
    <w:rPr>
      <w:sz w:val="20"/>
      <w:szCs w:val="20"/>
    </w:rPr>
  </w:style>
  <w:style w:type="character" w:customStyle="1" w:styleId="CommentTextChar">
    <w:name w:val="Comment Text Char"/>
    <w:basedOn w:val="DefaultParagraphFont"/>
    <w:link w:val="CommentText"/>
    <w:uiPriority w:val="99"/>
    <w:semiHidden/>
    <w:rsid w:val="001E2EB0"/>
    <w:rPr>
      <w:sz w:val="20"/>
      <w:szCs w:val="20"/>
    </w:rPr>
  </w:style>
  <w:style w:type="paragraph" w:styleId="CommentSubject">
    <w:name w:val="annotation subject"/>
    <w:basedOn w:val="CommentText"/>
    <w:next w:val="CommentText"/>
    <w:link w:val="CommentSubjectChar"/>
    <w:uiPriority w:val="99"/>
    <w:semiHidden/>
    <w:unhideWhenUsed/>
    <w:rsid w:val="001E2EB0"/>
    <w:rPr>
      <w:b/>
      <w:bCs/>
    </w:rPr>
  </w:style>
  <w:style w:type="character" w:customStyle="1" w:styleId="CommentSubjectChar">
    <w:name w:val="Comment Subject Char"/>
    <w:basedOn w:val="CommentTextChar"/>
    <w:link w:val="CommentSubject"/>
    <w:uiPriority w:val="99"/>
    <w:semiHidden/>
    <w:rsid w:val="001E2EB0"/>
    <w:rPr>
      <w:b/>
      <w:bCs/>
      <w:sz w:val="20"/>
      <w:szCs w:val="20"/>
    </w:rPr>
  </w:style>
  <w:style w:type="paragraph" w:styleId="BalloonText">
    <w:name w:val="Balloon Text"/>
    <w:basedOn w:val="Normal"/>
    <w:link w:val="BalloonTextChar"/>
    <w:uiPriority w:val="99"/>
    <w:semiHidden/>
    <w:unhideWhenUsed/>
    <w:rsid w:val="001E2E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EB0"/>
    <w:rPr>
      <w:rFonts w:ascii="Segoe UI" w:hAnsi="Segoe UI" w:cs="Segoe UI"/>
      <w:sz w:val="18"/>
      <w:szCs w:val="18"/>
    </w:rPr>
  </w:style>
  <w:style w:type="character" w:customStyle="1" w:styleId="Heading1Char">
    <w:name w:val="Heading 1 Char"/>
    <w:basedOn w:val="DefaultParagraphFont"/>
    <w:link w:val="Heading1"/>
    <w:uiPriority w:val="9"/>
    <w:rsid w:val="00565123"/>
    <w:rPr>
      <w:rFonts w:ascii="Calibri" w:eastAsiaTheme="majorEastAsia" w:hAnsi="Calibri" w:cstheme="majorBidi"/>
      <w:b/>
      <w:sz w:val="32"/>
      <w:szCs w:val="32"/>
    </w:rPr>
  </w:style>
  <w:style w:type="paragraph" w:styleId="Header">
    <w:name w:val="header"/>
    <w:basedOn w:val="Normal"/>
    <w:link w:val="HeaderChar"/>
    <w:uiPriority w:val="99"/>
    <w:unhideWhenUsed/>
    <w:rsid w:val="009664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473"/>
    <w:rPr>
      <w:sz w:val="24"/>
      <w:szCs w:val="24"/>
    </w:rPr>
  </w:style>
  <w:style w:type="paragraph" w:styleId="Footer">
    <w:name w:val="footer"/>
    <w:basedOn w:val="Normal"/>
    <w:link w:val="FooterChar"/>
    <w:uiPriority w:val="99"/>
    <w:unhideWhenUsed/>
    <w:rsid w:val="009664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473"/>
    <w:rPr>
      <w:sz w:val="24"/>
      <w:szCs w:val="24"/>
    </w:rPr>
  </w:style>
  <w:style w:type="character" w:styleId="Hyperlink">
    <w:name w:val="Hyperlink"/>
    <w:basedOn w:val="DefaultParagraphFont"/>
    <w:uiPriority w:val="99"/>
    <w:unhideWhenUsed/>
    <w:rsid w:val="0013633E"/>
    <w:rPr>
      <w:color w:val="0563C1" w:themeColor="hyperlink"/>
      <w:u w:val="single"/>
    </w:rPr>
  </w:style>
  <w:style w:type="character" w:customStyle="1" w:styleId="UnresolvedMention1">
    <w:name w:val="Unresolved Mention1"/>
    <w:basedOn w:val="DefaultParagraphFont"/>
    <w:uiPriority w:val="99"/>
    <w:semiHidden/>
    <w:unhideWhenUsed/>
    <w:rsid w:val="0013633E"/>
    <w:rPr>
      <w:color w:val="808080"/>
      <w:shd w:val="clear" w:color="auto" w:fill="E6E6E6"/>
    </w:rPr>
  </w:style>
  <w:style w:type="character" w:customStyle="1" w:styleId="DocID">
    <w:name w:val="DocID"/>
    <w:basedOn w:val="DefaultParagraphFont"/>
    <w:rsid w:val="00772BC0"/>
    <w:rPr>
      <w:rFonts w:ascii="Times New Roman" w:hAnsi="Times New Roman" w:cs="Times New Roman"/>
      <w:b w:val="0"/>
      <w:i w:val="0"/>
      <w:caps w:val="0"/>
      <w:vanish w:val="0"/>
      <w:color w:val="000000"/>
      <w:sz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14</Pages>
  <Words>4149</Words>
  <Characters>23652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Lichti</dc:creator>
  <cp:keywords/>
  <dc:description/>
  <cp:lastModifiedBy>Lindsay Lichti</cp:lastModifiedBy>
  <cp:revision>30</cp:revision>
  <dcterms:created xsi:type="dcterms:W3CDTF">2018-06-25T21:27:00Z</dcterms:created>
  <dcterms:modified xsi:type="dcterms:W3CDTF">2018-08-06T15:41:00Z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#58488316_v2</vt:lpwstr>
  </property>
</Properties>
</file>