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4BB592" w14:textId="77777777" w:rsidR="004D47AA" w:rsidRDefault="099CDD95" w:rsidP="00407213">
      <w:pPr>
        <w:pStyle w:val="Heading1"/>
      </w:pPr>
      <w:r>
        <w:t>Attachment D: Reports and Deliverables</w:t>
      </w:r>
    </w:p>
    <w:p w14:paraId="7E8147F3" w14:textId="77777777" w:rsidR="00407213" w:rsidRDefault="099CDD95" w:rsidP="00407213">
      <w:r>
        <w:t xml:space="preserve">The following reports and deliverables are due from Insurer to FHKC by the dates indicated in the chart below. This chart is not an exhaustive list of reports and deliverables required by the Contract. In the event of any conflict between Attachment D and the Contract, the Contract supersedes. </w:t>
      </w:r>
    </w:p>
    <w:tbl>
      <w:tblPr>
        <w:tblStyle w:val="TableGrid"/>
        <w:tblW w:w="0" w:type="auto"/>
        <w:tblCellMar>
          <w:left w:w="115" w:type="dxa"/>
          <w:bottom w:w="120" w:type="dxa"/>
          <w:right w:w="115" w:type="dxa"/>
        </w:tblCellMar>
        <w:tblLook w:val="04A0" w:firstRow="1" w:lastRow="0" w:firstColumn="1" w:lastColumn="0" w:noHBand="0" w:noVBand="1"/>
      </w:tblPr>
      <w:tblGrid>
        <w:gridCol w:w="3595"/>
        <w:gridCol w:w="2340"/>
        <w:gridCol w:w="3415"/>
      </w:tblGrid>
      <w:tr w:rsidR="0096615F" w14:paraId="02615F92" w14:textId="77777777" w:rsidTr="1DC5033B">
        <w:tc>
          <w:tcPr>
            <w:tcW w:w="3595" w:type="dxa"/>
          </w:tcPr>
          <w:p w14:paraId="40B23209" w14:textId="77777777" w:rsidR="0096615F" w:rsidRPr="0096615F" w:rsidRDefault="099CDD95" w:rsidP="099CDD95">
            <w:pPr>
              <w:rPr>
                <w:b/>
                <w:bCs/>
              </w:rPr>
            </w:pPr>
            <w:r w:rsidRPr="099CDD95">
              <w:rPr>
                <w:b/>
                <w:bCs/>
              </w:rPr>
              <w:t>Report/Deliverable Name</w:t>
            </w:r>
          </w:p>
        </w:tc>
        <w:tc>
          <w:tcPr>
            <w:tcW w:w="2340" w:type="dxa"/>
          </w:tcPr>
          <w:p w14:paraId="0F364762" w14:textId="77777777" w:rsidR="0096615F" w:rsidRPr="0096615F" w:rsidRDefault="099CDD95" w:rsidP="099CDD95">
            <w:pPr>
              <w:rPr>
                <w:b/>
                <w:bCs/>
              </w:rPr>
            </w:pPr>
            <w:r w:rsidRPr="099CDD95">
              <w:rPr>
                <w:b/>
                <w:bCs/>
              </w:rPr>
              <w:t>Contractual Reference</w:t>
            </w:r>
          </w:p>
        </w:tc>
        <w:tc>
          <w:tcPr>
            <w:tcW w:w="3415" w:type="dxa"/>
          </w:tcPr>
          <w:p w14:paraId="305D3259" w14:textId="77777777" w:rsidR="0096615F" w:rsidRPr="0096615F" w:rsidRDefault="099CDD95" w:rsidP="099CDD95">
            <w:pPr>
              <w:rPr>
                <w:b/>
                <w:bCs/>
              </w:rPr>
            </w:pPr>
            <w:r w:rsidRPr="099CDD95">
              <w:rPr>
                <w:b/>
                <w:bCs/>
              </w:rPr>
              <w:t>Frequency and Due Dates</w:t>
            </w:r>
          </w:p>
        </w:tc>
      </w:tr>
      <w:tr w:rsidR="0096615F" w14:paraId="1945AB7D" w14:textId="77777777" w:rsidTr="1DC5033B">
        <w:tc>
          <w:tcPr>
            <w:tcW w:w="3595" w:type="dxa"/>
          </w:tcPr>
          <w:p w14:paraId="6C9C1258" w14:textId="77777777" w:rsidR="0096615F" w:rsidRDefault="099CDD95" w:rsidP="00407213">
            <w:r>
              <w:t>Implementation plan</w:t>
            </w:r>
          </w:p>
        </w:tc>
        <w:tc>
          <w:tcPr>
            <w:tcW w:w="2340" w:type="dxa"/>
          </w:tcPr>
          <w:p w14:paraId="3A789D8D" w14:textId="43FE94C5" w:rsidR="0096615F" w:rsidRDefault="099CDD95" w:rsidP="00407213">
            <w:r>
              <w:t>12</w:t>
            </w:r>
            <w:r w:rsidR="17923AC7">
              <w:t>.</w:t>
            </w:r>
            <w:r w:rsidR="5BA3A6DD">
              <w:t>3</w:t>
            </w:r>
          </w:p>
        </w:tc>
        <w:tc>
          <w:tcPr>
            <w:tcW w:w="3415" w:type="dxa"/>
          </w:tcPr>
          <w:p w14:paraId="40410410" w14:textId="4DC8D7E5" w:rsidR="0096615F" w:rsidRDefault="099CDD95" w:rsidP="00407213">
            <w:r>
              <w:t>One-time; within five (5) Business Days of Contract execution</w:t>
            </w:r>
          </w:p>
        </w:tc>
      </w:tr>
      <w:tr w:rsidR="0096615F" w14:paraId="6B6877E4" w14:textId="77777777" w:rsidTr="1DC5033B">
        <w:tc>
          <w:tcPr>
            <w:tcW w:w="3595" w:type="dxa"/>
          </w:tcPr>
          <w:p w14:paraId="20D08D70" w14:textId="77777777" w:rsidR="0096615F" w:rsidRDefault="099CDD95" w:rsidP="00407213">
            <w:r>
              <w:t>Premium rate adjustment request package</w:t>
            </w:r>
          </w:p>
        </w:tc>
        <w:tc>
          <w:tcPr>
            <w:tcW w:w="2340" w:type="dxa"/>
          </w:tcPr>
          <w:p w14:paraId="7BCECFE9" w14:textId="189E2BF3" w:rsidR="0096615F" w:rsidRDefault="0016488A" w:rsidP="00407213">
            <w:r>
              <w:t>2</w:t>
            </w:r>
            <w:r w:rsidR="72935D66">
              <w:t>.</w:t>
            </w:r>
            <w:r>
              <w:t>10</w:t>
            </w:r>
            <w:r w:rsidR="20AB1D00">
              <w:t>.</w:t>
            </w:r>
            <w:r>
              <w:t>1</w:t>
            </w:r>
          </w:p>
        </w:tc>
        <w:tc>
          <w:tcPr>
            <w:tcW w:w="3415" w:type="dxa"/>
          </w:tcPr>
          <w:p w14:paraId="480B0FC3" w14:textId="77777777" w:rsidR="0096615F" w:rsidRDefault="099CDD95" w:rsidP="00407213">
            <w:r>
              <w:t>Annually; July 1</w:t>
            </w:r>
          </w:p>
        </w:tc>
      </w:tr>
      <w:tr w:rsidR="0096615F" w14:paraId="54247BA3" w14:textId="77777777" w:rsidTr="1DC5033B">
        <w:tc>
          <w:tcPr>
            <w:tcW w:w="3595" w:type="dxa"/>
          </w:tcPr>
          <w:p w14:paraId="21CC4DAE" w14:textId="77777777" w:rsidR="0096615F" w:rsidRDefault="099CDD95" w:rsidP="00407213">
            <w:r>
              <w:t>Prohibited affiliations disclosure</w:t>
            </w:r>
          </w:p>
        </w:tc>
        <w:tc>
          <w:tcPr>
            <w:tcW w:w="2340" w:type="dxa"/>
          </w:tcPr>
          <w:p w14:paraId="35CCDCC3" w14:textId="0708CFB7" w:rsidR="0096615F" w:rsidRDefault="000F2D99" w:rsidP="00407213">
            <w:r>
              <w:t>3</w:t>
            </w:r>
            <w:r w:rsidR="24B3AA69">
              <w:t>.</w:t>
            </w:r>
            <w:r w:rsidR="099CDD95">
              <w:t>4</w:t>
            </w:r>
          </w:p>
        </w:tc>
        <w:tc>
          <w:tcPr>
            <w:tcW w:w="3415" w:type="dxa"/>
          </w:tcPr>
          <w:p w14:paraId="0F3DE26F" w14:textId="77777777" w:rsidR="0096615F" w:rsidRDefault="099CDD95" w:rsidP="00407213">
            <w:r>
              <w:t>Annually; January 15</w:t>
            </w:r>
          </w:p>
        </w:tc>
      </w:tr>
      <w:tr w:rsidR="0096615F" w14:paraId="3EA54D02" w14:textId="77777777" w:rsidTr="1DC5033B">
        <w:tc>
          <w:tcPr>
            <w:tcW w:w="3595" w:type="dxa"/>
          </w:tcPr>
          <w:p w14:paraId="16A808B7" w14:textId="77777777" w:rsidR="0096615F" w:rsidRDefault="099CDD95" w:rsidP="00407213">
            <w:r>
              <w:t>Ownership and control disclosures</w:t>
            </w:r>
          </w:p>
        </w:tc>
        <w:tc>
          <w:tcPr>
            <w:tcW w:w="2340" w:type="dxa"/>
          </w:tcPr>
          <w:p w14:paraId="4763088E" w14:textId="78154910" w:rsidR="0096615F" w:rsidRDefault="000F2D99" w:rsidP="00407213">
            <w:r>
              <w:t>3</w:t>
            </w:r>
            <w:r w:rsidR="7FF49063">
              <w:t>.</w:t>
            </w:r>
            <w:r>
              <w:t>7</w:t>
            </w:r>
          </w:p>
        </w:tc>
        <w:tc>
          <w:tcPr>
            <w:tcW w:w="3415" w:type="dxa"/>
          </w:tcPr>
          <w:p w14:paraId="3D4C12A4" w14:textId="77777777" w:rsidR="00BB3D60" w:rsidRDefault="099CDD95" w:rsidP="00BB3D60">
            <w:pPr>
              <w:spacing w:after="120"/>
            </w:pPr>
            <w:r>
              <w:t>Upon Contract execution, renewal or extension</w:t>
            </w:r>
          </w:p>
          <w:p w14:paraId="2A73FC5D" w14:textId="77777777" w:rsidR="0096615F" w:rsidRDefault="099CDD95" w:rsidP="00407213">
            <w:r>
              <w:t>Within thirty-five (35) Calendar Days of any change in ownership</w:t>
            </w:r>
          </w:p>
        </w:tc>
      </w:tr>
      <w:tr w:rsidR="0096615F" w14:paraId="5158131B" w14:textId="77777777" w:rsidTr="1DC5033B">
        <w:tc>
          <w:tcPr>
            <w:tcW w:w="3595" w:type="dxa"/>
          </w:tcPr>
          <w:p w14:paraId="66881BAB" w14:textId="77777777" w:rsidR="0096615F" w:rsidRDefault="099CDD95" w:rsidP="00407213">
            <w:r>
              <w:t>Conflict of interest disclosure form</w:t>
            </w:r>
          </w:p>
        </w:tc>
        <w:tc>
          <w:tcPr>
            <w:tcW w:w="2340" w:type="dxa"/>
          </w:tcPr>
          <w:p w14:paraId="0E9A5613" w14:textId="63A0E3BF" w:rsidR="0096615F" w:rsidRDefault="00E3489C" w:rsidP="00407213">
            <w:r>
              <w:t>3</w:t>
            </w:r>
            <w:r w:rsidR="1664233E">
              <w:t>.</w:t>
            </w:r>
            <w:r>
              <w:t>9</w:t>
            </w:r>
          </w:p>
        </w:tc>
        <w:tc>
          <w:tcPr>
            <w:tcW w:w="3415" w:type="dxa"/>
          </w:tcPr>
          <w:p w14:paraId="51E4E068" w14:textId="77777777" w:rsidR="00BB3D60" w:rsidRDefault="099CDD95" w:rsidP="00BB3D60">
            <w:pPr>
              <w:spacing w:after="120"/>
            </w:pPr>
            <w:r>
              <w:t>Within five (5) Business Days of Insurer’s receipt of executed Contract</w:t>
            </w:r>
          </w:p>
          <w:p w14:paraId="5481D6E3" w14:textId="77777777" w:rsidR="00A320B0" w:rsidRDefault="099CDD95" w:rsidP="00BB3D60">
            <w:pPr>
              <w:spacing w:after="120"/>
            </w:pPr>
            <w:r>
              <w:t>Within ten (10) Business Days after becoming aware of any potential conflicts of interest</w:t>
            </w:r>
          </w:p>
          <w:p w14:paraId="141DABE4" w14:textId="77777777" w:rsidR="00A320B0" w:rsidRDefault="099CDD95" w:rsidP="00A320B0">
            <w:pPr>
              <w:spacing w:after="120"/>
            </w:pPr>
            <w:r>
              <w:t>Annually; January 15</w:t>
            </w:r>
          </w:p>
        </w:tc>
      </w:tr>
      <w:tr w:rsidR="0096615F" w14:paraId="0F18CBFE" w14:textId="77777777" w:rsidTr="1DC5033B">
        <w:tc>
          <w:tcPr>
            <w:tcW w:w="3595" w:type="dxa"/>
          </w:tcPr>
          <w:p w14:paraId="3AE1E560" w14:textId="77777777" w:rsidR="0096615F" w:rsidRDefault="099CDD95" w:rsidP="00407213">
            <w:r>
              <w:t>Lobbying disclosure</w:t>
            </w:r>
          </w:p>
        </w:tc>
        <w:tc>
          <w:tcPr>
            <w:tcW w:w="2340" w:type="dxa"/>
          </w:tcPr>
          <w:p w14:paraId="0729634E" w14:textId="2E4DF6D2" w:rsidR="0096615F" w:rsidRDefault="00E3489C" w:rsidP="00407213">
            <w:r>
              <w:t>3</w:t>
            </w:r>
            <w:r w:rsidR="43460A68">
              <w:t>.</w:t>
            </w:r>
            <w:r>
              <w:t>10</w:t>
            </w:r>
          </w:p>
        </w:tc>
        <w:tc>
          <w:tcPr>
            <w:tcW w:w="3415" w:type="dxa"/>
          </w:tcPr>
          <w:p w14:paraId="59D34921" w14:textId="77777777" w:rsidR="0096615F" w:rsidRDefault="099CDD95" w:rsidP="0050214A">
            <w:pPr>
              <w:spacing w:after="120"/>
            </w:pPr>
            <w:r>
              <w:t>Upon Contract execution</w:t>
            </w:r>
          </w:p>
          <w:p w14:paraId="19A94DC2" w14:textId="77777777" w:rsidR="0050214A" w:rsidRDefault="099CDD95" w:rsidP="00407213">
            <w:r>
              <w:t>Annually; January 15</w:t>
            </w:r>
          </w:p>
        </w:tc>
      </w:tr>
      <w:tr w:rsidR="0096615F" w14:paraId="76D9669D" w14:textId="77777777" w:rsidTr="1DC5033B">
        <w:tc>
          <w:tcPr>
            <w:tcW w:w="3595" w:type="dxa"/>
          </w:tcPr>
          <w:p w14:paraId="455691CF" w14:textId="77777777" w:rsidR="0096615F" w:rsidRDefault="099CDD95" w:rsidP="00407213">
            <w:r>
              <w:t>Proof of insurance coverage</w:t>
            </w:r>
          </w:p>
        </w:tc>
        <w:tc>
          <w:tcPr>
            <w:tcW w:w="2340" w:type="dxa"/>
          </w:tcPr>
          <w:p w14:paraId="2524976E" w14:textId="0002A75E" w:rsidR="0096615F" w:rsidRDefault="003A6827" w:rsidP="00407213">
            <w:r>
              <w:t>3</w:t>
            </w:r>
            <w:r w:rsidR="242CD154">
              <w:t>.</w:t>
            </w:r>
            <w:r>
              <w:t>13</w:t>
            </w:r>
          </w:p>
        </w:tc>
        <w:tc>
          <w:tcPr>
            <w:tcW w:w="3415" w:type="dxa"/>
          </w:tcPr>
          <w:p w14:paraId="07D219A7" w14:textId="77777777" w:rsidR="000D02A0" w:rsidRDefault="099CDD95" w:rsidP="000D02A0">
            <w:pPr>
              <w:spacing w:after="120"/>
            </w:pPr>
            <w:r>
              <w:t>Within ten (10) Business Days of Contract execution</w:t>
            </w:r>
          </w:p>
          <w:p w14:paraId="222EC21C" w14:textId="77777777" w:rsidR="0096615F" w:rsidRDefault="099CDD95" w:rsidP="000D02A0">
            <w:pPr>
              <w:spacing w:after="120"/>
            </w:pPr>
            <w:r>
              <w:t>Annually; December 31 or by certificate of insurance expiration date</w:t>
            </w:r>
          </w:p>
        </w:tc>
      </w:tr>
      <w:tr w:rsidR="000D02A0" w14:paraId="001E0831" w14:textId="77777777" w:rsidTr="1DC5033B">
        <w:tc>
          <w:tcPr>
            <w:tcW w:w="3595" w:type="dxa"/>
          </w:tcPr>
          <w:p w14:paraId="0D4288F4" w14:textId="77777777" w:rsidR="000D02A0" w:rsidRDefault="099CDD95" w:rsidP="00407213">
            <w:r>
              <w:t>Subcontractor requests</w:t>
            </w:r>
          </w:p>
        </w:tc>
        <w:tc>
          <w:tcPr>
            <w:tcW w:w="2340" w:type="dxa"/>
          </w:tcPr>
          <w:p w14:paraId="4C8CAC1E" w14:textId="00DB62CC" w:rsidR="000D02A0" w:rsidRDefault="00F252F8" w:rsidP="00407213">
            <w:r>
              <w:t>4</w:t>
            </w:r>
          </w:p>
        </w:tc>
        <w:tc>
          <w:tcPr>
            <w:tcW w:w="3415" w:type="dxa"/>
          </w:tcPr>
          <w:p w14:paraId="4BB3CC92" w14:textId="77777777" w:rsidR="005C5A26" w:rsidRDefault="099CDD95" w:rsidP="000D02A0">
            <w:pPr>
              <w:spacing w:after="120"/>
            </w:pPr>
            <w:r>
              <w:t>Date established in approved implementation plan</w:t>
            </w:r>
          </w:p>
          <w:p w14:paraId="4BBBD66E" w14:textId="77777777" w:rsidR="005C5A26" w:rsidRDefault="099CDD95" w:rsidP="000D02A0">
            <w:pPr>
              <w:spacing w:after="120"/>
            </w:pPr>
            <w:r>
              <w:t>90 Calendar Days prior to proposed effective date</w:t>
            </w:r>
          </w:p>
        </w:tc>
      </w:tr>
      <w:tr w:rsidR="000D02A0" w14:paraId="70F9BE4C" w14:textId="77777777" w:rsidTr="1DC5033B">
        <w:tc>
          <w:tcPr>
            <w:tcW w:w="3595" w:type="dxa"/>
          </w:tcPr>
          <w:p w14:paraId="1B2CE531" w14:textId="77777777" w:rsidR="000D02A0" w:rsidRDefault="099CDD95" w:rsidP="00407213">
            <w:r>
              <w:t>Subcontractor monitoring schedule</w:t>
            </w:r>
          </w:p>
        </w:tc>
        <w:tc>
          <w:tcPr>
            <w:tcW w:w="2340" w:type="dxa"/>
          </w:tcPr>
          <w:p w14:paraId="246154C8" w14:textId="2526DA5C" w:rsidR="000D02A0" w:rsidRDefault="001B3243" w:rsidP="00407213">
            <w:r>
              <w:t>4</w:t>
            </w:r>
            <w:r w:rsidR="72956029">
              <w:t>.</w:t>
            </w:r>
            <w:r w:rsidR="099CDD95">
              <w:t>2</w:t>
            </w:r>
          </w:p>
        </w:tc>
        <w:tc>
          <w:tcPr>
            <w:tcW w:w="3415" w:type="dxa"/>
          </w:tcPr>
          <w:p w14:paraId="44FE4590" w14:textId="77777777" w:rsidR="00CC1F23" w:rsidRDefault="099CDD95" w:rsidP="00CC1F23">
            <w:pPr>
              <w:spacing w:after="120"/>
            </w:pPr>
            <w:r>
              <w:t>Date established in approved implementation plan</w:t>
            </w:r>
          </w:p>
          <w:p w14:paraId="69BF7509" w14:textId="77777777" w:rsidR="000D02A0" w:rsidRDefault="099CDD95" w:rsidP="000D02A0">
            <w:pPr>
              <w:spacing w:after="120"/>
            </w:pPr>
            <w:r>
              <w:t>Annually; December 1</w:t>
            </w:r>
          </w:p>
        </w:tc>
      </w:tr>
      <w:tr w:rsidR="000D02A0" w14:paraId="58C06E9B" w14:textId="77777777" w:rsidTr="1DC5033B">
        <w:tc>
          <w:tcPr>
            <w:tcW w:w="3595" w:type="dxa"/>
          </w:tcPr>
          <w:p w14:paraId="38065642" w14:textId="77777777" w:rsidR="000D02A0" w:rsidRDefault="099CDD95" w:rsidP="00407213">
            <w:r>
              <w:t>Subcontractor contingency plan</w:t>
            </w:r>
          </w:p>
        </w:tc>
        <w:tc>
          <w:tcPr>
            <w:tcW w:w="2340" w:type="dxa"/>
          </w:tcPr>
          <w:p w14:paraId="6627E423" w14:textId="6327F989" w:rsidR="000D02A0" w:rsidRDefault="005A1A63" w:rsidP="00407213">
            <w:r>
              <w:t>4</w:t>
            </w:r>
            <w:r w:rsidR="02992A37">
              <w:t>.</w:t>
            </w:r>
            <w:r w:rsidR="099CDD95">
              <w:t>2</w:t>
            </w:r>
          </w:p>
        </w:tc>
        <w:tc>
          <w:tcPr>
            <w:tcW w:w="3415" w:type="dxa"/>
          </w:tcPr>
          <w:p w14:paraId="2367FB77" w14:textId="77777777" w:rsidR="00572D9F" w:rsidRDefault="099CDD95" w:rsidP="00572D9F">
            <w:pPr>
              <w:spacing w:after="120"/>
            </w:pPr>
            <w:r>
              <w:t>Date established in approved implementation plan</w:t>
            </w:r>
          </w:p>
          <w:p w14:paraId="6726DB85" w14:textId="77777777" w:rsidR="000D02A0" w:rsidRDefault="099CDD95" w:rsidP="000D02A0">
            <w:pPr>
              <w:spacing w:after="120"/>
            </w:pPr>
            <w:r>
              <w:t>Upon submission of new Subcontractor requests</w:t>
            </w:r>
          </w:p>
        </w:tc>
      </w:tr>
      <w:tr w:rsidR="000D02A0" w14:paraId="4C13E0D9" w14:textId="77777777" w:rsidTr="1DC5033B">
        <w:tc>
          <w:tcPr>
            <w:tcW w:w="3595" w:type="dxa"/>
          </w:tcPr>
          <w:p w14:paraId="696022B9" w14:textId="77777777" w:rsidR="000D02A0" w:rsidRDefault="099CDD95" w:rsidP="00407213">
            <w:r>
              <w:t>NIST compliant information security risk assessment attestation</w:t>
            </w:r>
          </w:p>
        </w:tc>
        <w:tc>
          <w:tcPr>
            <w:tcW w:w="2340" w:type="dxa"/>
          </w:tcPr>
          <w:p w14:paraId="2820FB0F" w14:textId="0F9CE0A7" w:rsidR="000D02A0" w:rsidRDefault="00DA558D" w:rsidP="00407213">
            <w:r>
              <w:t>5</w:t>
            </w:r>
          </w:p>
        </w:tc>
        <w:tc>
          <w:tcPr>
            <w:tcW w:w="3415" w:type="dxa"/>
          </w:tcPr>
          <w:p w14:paraId="144C3EDA" w14:textId="77777777" w:rsidR="000D02A0" w:rsidRDefault="099CDD95" w:rsidP="000D02A0">
            <w:pPr>
              <w:spacing w:after="120"/>
            </w:pPr>
            <w:r>
              <w:t>One-time; January 31, 2021</w:t>
            </w:r>
          </w:p>
        </w:tc>
      </w:tr>
      <w:tr w:rsidR="000D02A0" w14:paraId="77084B4C" w14:textId="77777777" w:rsidTr="1DC5033B">
        <w:tc>
          <w:tcPr>
            <w:tcW w:w="3595" w:type="dxa"/>
          </w:tcPr>
          <w:p w14:paraId="31A5D2C1" w14:textId="77777777" w:rsidR="000D02A0" w:rsidRDefault="099CDD95" w:rsidP="00407213">
            <w:r>
              <w:t>Audited financial statements</w:t>
            </w:r>
          </w:p>
        </w:tc>
        <w:tc>
          <w:tcPr>
            <w:tcW w:w="2340" w:type="dxa"/>
          </w:tcPr>
          <w:p w14:paraId="4192FB7F" w14:textId="10631F04" w:rsidR="000D02A0" w:rsidRDefault="099CDD95" w:rsidP="00407213">
            <w:r>
              <w:t>9</w:t>
            </w:r>
            <w:r w:rsidR="1824842F">
              <w:t>.</w:t>
            </w:r>
            <w:r>
              <w:t>1</w:t>
            </w:r>
          </w:p>
        </w:tc>
        <w:tc>
          <w:tcPr>
            <w:tcW w:w="3415" w:type="dxa"/>
          </w:tcPr>
          <w:p w14:paraId="3EC7189E" w14:textId="77777777" w:rsidR="000D02A0" w:rsidRDefault="099CDD95" w:rsidP="000D02A0">
            <w:pPr>
              <w:spacing w:after="120"/>
            </w:pPr>
            <w:r>
              <w:t>Annually; July 1</w:t>
            </w:r>
          </w:p>
        </w:tc>
      </w:tr>
      <w:tr w:rsidR="000D02A0" w14:paraId="770F56CB" w14:textId="77777777" w:rsidTr="1DC5033B">
        <w:tc>
          <w:tcPr>
            <w:tcW w:w="3595" w:type="dxa"/>
          </w:tcPr>
          <w:p w14:paraId="143DA403" w14:textId="77777777" w:rsidR="000D02A0" w:rsidRDefault="099CDD95" w:rsidP="00407213">
            <w:r>
              <w:t>Other coverage liability report</w:t>
            </w:r>
          </w:p>
        </w:tc>
        <w:tc>
          <w:tcPr>
            <w:tcW w:w="2340" w:type="dxa"/>
          </w:tcPr>
          <w:p w14:paraId="1BC9D53E" w14:textId="186D47D2" w:rsidR="000D02A0" w:rsidRDefault="099CDD95" w:rsidP="00407213">
            <w:r>
              <w:t>9</w:t>
            </w:r>
            <w:r w:rsidR="22AFB689">
              <w:t>.</w:t>
            </w:r>
            <w:r>
              <w:t>4</w:t>
            </w:r>
            <w:r w:rsidR="261EA97B">
              <w:t>.</w:t>
            </w:r>
            <w:r>
              <w:t>2</w:t>
            </w:r>
          </w:p>
        </w:tc>
        <w:tc>
          <w:tcPr>
            <w:tcW w:w="3415" w:type="dxa"/>
          </w:tcPr>
          <w:p w14:paraId="2906704F" w14:textId="77777777" w:rsidR="000D02A0" w:rsidRDefault="099CDD95" w:rsidP="000D02A0">
            <w:pPr>
              <w:spacing w:after="120"/>
            </w:pPr>
            <w:r>
              <w:t>Monthly; by the 15</w:t>
            </w:r>
            <w:r w:rsidRPr="099CDD95">
              <w:rPr>
                <w:vertAlign w:val="superscript"/>
              </w:rPr>
              <w:t>th</w:t>
            </w:r>
            <w:r>
              <w:t xml:space="preserve"> </w:t>
            </w:r>
          </w:p>
        </w:tc>
      </w:tr>
      <w:tr w:rsidR="002D211E" w14:paraId="6C4C4764" w14:textId="77777777" w:rsidTr="1DC5033B">
        <w:tc>
          <w:tcPr>
            <w:tcW w:w="3595" w:type="dxa"/>
          </w:tcPr>
          <w:p w14:paraId="2281B09E" w14:textId="77777777" w:rsidR="002D211E" w:rsidRDefault="099CDD95" w:rsidP="00407213">
            <w:r>
              <w:t>MLR report</w:t>
            </w:r>
          </w:p>
        </w:tc>
        <w:tc>
          <w:tcPr>
            <w:tcW w:w="2340" w:type="dxa"/>
          </w:tcPr>
          <w:p w14:paraId="64617570" w14:textId="5EB838E3" w:rsidR="002D211E" w:rsidRDefault="099CDD95" w:rsidP="00407213">
            <w:r>
              <w:t>9</w:t>
            </w:r>
            <w:r w:rsidR="3F316C66">
              <w:t>.</w:t>
            </w:r>
            <w:r>
              <w:t>5</w:t>
            </w:r>
            <w:r w:rsidR="33191E96">
              <w:t>.</w:t>
            </w:r>
            <w:r>
              <w:t>1</w:t>
            </w:r>
          </w:p>
        </w:tc>
        <w:tc>
          <w:tcPr>
            <w:tcW w:w="3415" w:type="dxa"/>
          </w:tcPr>
          <w:p w14:paraId="09E333F0" w14:textId="77777777" w:rsidR="002D211E" w:rsidRDefault="099CDD95" w:rsidP="000D02A0">
            <w:pPr>
              <w:spacing w:after="120"/>
            </w:pPr>
            <w:r>
              <w:t>Quarterly; see section 9-5-1 for specific dates</w:t>
            </w:r>
          </w:p>
        </w:tc>
      </w:tr>
      <w:tr w:rsidR="002D211E" w14:paraId="2EF8397F" w14:textId="77777777" w:rsidTr="1DC5033B">
        <w:tc>
          <w:tcPr>
            <w:tcW w:w="3595" w:type="dxa"/>
          </w:tcPr>
          <w:p w14:paraId="455BB2ED" w14:textId="77777777" w:rsidR="002D211E" w:rsidRDefault="099CDD95" w:rsidP="00407213">
            <w:r>
              <w:t>Annual MLR report</w:t>
            </w:r>
          </w:p>
        </w:tc>
        <w:tc>
          <w:tcPr>
            <w:tcW w:w="2340" w:type="dxa"/>
          </w:tcPr>
          <w:p w14:paraId="69EC01A4" w14:textId="1C3C6FE7" w:rsidR="002D211E" w:rsidRDefault="099CDD95" w:rsidP="00407213">
            <w:r>
              <w:t>9</w:t>
            </w:r>
            <w:r w:rsidR="3BA1DEE7">
              <w:t>.</w:t>
            </w:r>
            <w:r>
              <w:t>5</w:t>
            </w:r>
            <w:r w:rsidR="463A212C">
              <w:t>.</w:t>
            </w:r>
            <w:r>
              <w:t>1</w:t>
            </w:r>
          </w:p>
        </w:tc>
        <w:tc>
          <w:tcPr>
            <w:tcW w:w="3415" w:type="dxa"/>
          </w:tcPr>
          <w:p w14:paraId="1E07DEBA" w14:textId="77777777" w:rsidR="002D211E" w:rsidRDefault="099CDD95" w:rsidP="000D02A0">
            <w:pPr>
              <w:spacing w:after="120"/>
            </w:pPr>
            <w:r>
              <w:t>Annually; July 1</w:t>
            </w:r>
          </w:p>
        </w:tc>
      </w:tr>
      <w:tr w:rsidR="002D211E" w14:paraId="4733C1B5" w14:textId="77777777" w:rsidTr="1DC5033B">
        <w:tc>
          <w:tcPr>
            <w:tcW w:w="3595" w:type="dxa"/>
          </w:tcPr>
          <w:p w14:paraId="03C29242" w14:textId="77777777" w:rsidR="002D211E" w:rsidRDefault="099CDD95" w:rsidP="00407213">
            <w:r>
              <w:t>Experience adjustment report</w:t>
            </w:r>
          </w:p>
        </w:tc>
        <w:tc>
          <w:tcPr>
            <w:tcW w:w="2340" w:type="dxa"/>
          </w:tcPr>
          <w:p w14:paraId="5A71AEA3" w14:textId="1BE0C68E" w:rsidR="002D211E" w:rsidRDefault="099CDD95" w:rsidP="00407213">
            <w:r>
              <w:t>9</w:t>
            </w:r>
            <w:r w:rsidR="543F62BF">
              <w:t>.</w:t>
            </w:r>
            <w:r>
              <w:t>5</w:t>
            </w:r>
            <w:r w:rsidR="712AD237">
              <w:t>.</w:t>
            </w:r>
            <w:r>
              <w:t>2</w:t>
            </w:r>
          </w:p>
        </w:tc>
        <w:tc>
          <w:tcPr>
            <w:tcW w:w="3415" w:type="dxa"/>
          </w:tcPr>
          <w:p w14:paraId="56459A0D" w14:textId="141BBC6A" w:rsidR="002D211E" w:rsidRDefault="099CDD95" w:rsidP="000D02A0">
            <w:pPr>
              <w:spacing w:after="120"/>
            </w:pPr>
            <w:r>
              <w:t xml:space="preserve">Annually; </w:t>
            </w:r>
            <w:r w:rsidR="00A80B67">
              <w:t>December 31</w:t>
            </w:r>
            <w:r>
              <w:t xml:space="preserve">, beginning on </w:t>
            </w:r>
            <w:r w:rsidR="00A80B67">
              <w:t>December 31, 2021</w:t>
            </w:r>
          </w:p>
        </w:tc>
      </w:tr>
      <w:tr w:rsidR="002D211E" w14:paraId="2E4B9B35" w14:textId="77777777" w:rsidTr="1DC5033B">
        <w:tc>
          <w:tcPr>
            <w:tcW w:w="3595" w:type="dxa"/>
          </w:tcPr>
          <w:p w14:paraId="3EDC1A64" w14:textId="77777777" w:rsidR="002D211E" w:rsidRDefault="099CDD95" w:rsidP="00407213">
            <w:r>
              <w:t>SOC 2 Type II</w:t>
            </w:r>
          </w:p>
        </w:tc>
        <w:tc>
          <w:tcPr>
            <w:tcW w:w="2340" w:type="dxa"/>
          </w:tcPr>
          <w:p w14:paraId="1CED41CD" w14:textId="7FF5499C" w:rsidR="002D211E" w:rsidRDefault="099CDD95" w:rsidP="00407213">
            <w:r>
              <w:t>11</w:t>
            </w:r>
            <w:r w:rsidR="52E9F2B3">
              <w:t>.</w:t>
            </w:r>
            <w:r>
              <w:t>1</w:t>
            </w:r>
          </w:p>
        </w:tc>
        <w:tc>
          <w:tcPr>
            <w:tcW w:w="3415" w:type="dxa"/>
          </w:tcPr>
          <w:p w14:paraId="55021649" w14:textId="77777777" w:rsidR="002D211E" w:rsidRDefault="099CDD95" w:rsidP="000D02A0">
            <w:pPr>
              <w:spacing w:after="120"/>
            </w:pPr>
            <w:r>
              <w:t>Date established in approved implementation plan</w:t>
            </w:r>
          </w:p>
          <w:p w14:paraId="4C1DCCEE" w14:textId="0244B0CE" w:rsidR="008B6166" w:rsidRDefault="099CDD95" w:rsidP="000D02A0">
            <w:pPr>
              <w:spacing w:after="120"/>
            </w:pPr>
            <w:r>
              <w:t>Annually; date required by FHKC</w:t>
            </w:r>
          </w:p>
        </w:tc>
      </w:tr>
      <w:tr w:rsidR="002D211E" w14:paraId="7EF7F377" w14:textId="77777777" w:rsidTr="1DC5033B">
        <w:tc>
          <w:tcPr>
            <w:tcW w:w="3595" w:type="dxa"/>
          </w:tcPr>
          <w:p w14:paraId="258E0471" w14:textId="7D5DC4CD" w:rsidR="002D211E" w:rsidRDefault="099CDD95" w:rsidP="00407213">
            <w:r>
              <w:t>Account management team contact information</w:t>
            </w:r>
          </w:p>
        </w:tc>
        <w:tc>
          <w:tcPr>
            <w:tcW w:w="2340" w:type="dxa"/>
          </w:tcPr>
          <w:p w14:paraId="544D21C4" w14:textId="64CFC0B9" w:rsidR="002D211E" w:rsidRDefault="099CDD95" w:rsidP="00407213">
            <w:r>
              <w:t>12</w:t>
            </w:r>
            <w:r w:rsidR="0EB2E0D0">
              <w:t>.</w:t>
            </w:r>
            <w:r w:rsidR="00AD3B88">
              <w:t>4</w:t>
            </w:r>
          </w:p>
        </w:tc>
        <w:tc>
          <w:tcPr>
            <w:tcW w:w="3415" w:type="dxa"/>
          </w:tcPr>
          <w:p w14:paraId="2E153751" w14:textId="59753E68" w:rsidR="002D211E" w:rsidRDefault="099CDD95" w:rsidP="000D02A0">
            <w:pPr>
              <w:spacing w:after="120"/>
            </w:pPr>
            <w:r>
              <w:t>Upon Contract execution</w:t>
            </w:r>
          </w:p>
        </w:tc>
      </w:tr>
      <w:tr w:rsidR="00F0533D" w14:paraId="10F2A60B" w14:textId="77777777" w:rsidTr="1DC5033B">
        <w:tc>
          <w:tcPr>
            <w:tcW w:w="3595" w:type="dxa"/>
          </w:tcPr>
          <w:p w14:paraId="639B3792" w14:textId="3E55784B" w:rsidR="00F0533D" w:rsidRDefault="099CDD95" w:rsidP="00407213">
            <w:r>
              <w:t>Key experience metrics report</w:t>
            </w:r>
          </w:p>
        </w:tc>
        <w:tc>
          <w:tcPr>
            <w:tcW w:w="2340" w:type="dxa"/>
          </w:tcPr>
          <w:p w14:paraId="54AFC1DE" w14:textId="46CF2EEB" w:rsidR="00F0533D" w:rsidRDefault="099CDD95" w:rsidP="00407213">
            <w:r>
              <w:t>12</w:t>
            </w:r>
            <w:r w:rsidR="13B5E885">
              <w:t>.</w:t>
            </w:r>
            <w:r w:rsidR="00743FF0">
              <w:t>6</w:t>
            </w:r>
          </w:p>
        </w:tc>
        <w:tc>
          <w:tcPr>
            <w:tcW w:w="3415" w:type="dxa"/>
          </w:tcPr>
          <w:p w14:paraId="75AD35B7" w14:textId="2913419E" w:rsidR="00F0533D" w:rsidRDefault="099CDD95" w:rsidP="000D02A0">
            <w:pPr>
              <w:spacing w:after="120"/>
            </w:pPr>
            <w:r>
              <w:t>Quarterly; by the 15</w:t>
            </w:r>
            <w:r w:rsidRPr="099CDD95">
              <w:rPr>
                <w:vertAlign w:val="superscript"/>
              </w:rPr>
              <w:t>th</w:t>
            </w:r>
            <w:r>
              <w:t xml:space="preserve"> of the second month following the reporting quarter.</w:t>
            </w:r>
          </w:p>
        </w:tc>
      </w:tr>
      <w:tr w:rsidR="00F0533D" w14:paraId="4183D7D7" w14:textId="77777777" w:rsidTr="1DC5033B">
        <w:tc>
          <w:tcPr>
            <w:tcW w:w="3595" w:type="dxa"/>
          </w:tcPr>
          <w:p w14:paraId="70620EDC" w14:textId="1531EE59" w:rsidR="00F0533D" w:rsidRDefault="099CDD95" w:rsidP="00407213">
            <w:r>
              <w:t>Contract termination transition plan</w:t>
            </w:r>
          </w:p>
        </w:tc>
        <w:tc>
          <w:tcPr>
            <w:tcW w:w="2340" w:type="dxa"/>
          </w:tcPr>
          <w:p w14:paraId="7CE11264" w14:textId="7D4D98D0" w:rsidR="00F0533D" w:rsidRDefault="099CDD95" w:rsidP="00407213">
            <w:r>
              <w:t>12</w:t>
            </w:r>
            <w:r w:rsidR="053A98E5">
              <w:t>.</w:t>
            </w:r>
            <w:r w:rsidR="00836E53">
              <w:t>8</w:t>
            </w:r>
          </w:p>
        </w:tc>
        <w:tc>
          <w:tcPr>
            <w:tcW w:w="3415" w:type="dxa"/>
          </w:tcPr>
          <w:p w14:paraId="618B8BEC" w14:textId="5FFDD3A0" w:rsidR="00F0533D" w:rsidRDefault="099CDD95" w:rsidP="000D02A0">
            <w:pPr>
              <w:spacing w:after="120"/>
            </w:pPr>
            <w:r>
              <w:t>90 Calendar Days’ prior to Contract termination</w:t>
            </w:r>
          </w:p>
        </w:tc>
      </w:tr>
      <w:tr w:rsidR="00F0533D" w14:paraId="77E9382B" w14:textId="77777777" w:rsidTr="1DC5033B">
        <w:tc>
          <w:tcPr>
            <w:tcW w:w="3595" w:type="dxa"/>
          </w:tcPr>
          <w:p w14:paraId="01D2D9E9" w14:textId="6E5C1B94" w:rsidR="00F0533D" w:rsidRDefault="099CDD95" w:rsidP="00407213">
            <w:r>
              <w:t>Quarterly marketing event report</w:t>
            </w:r>
          </w:p>
        </w:tc>
        <w:tc>
          <w:tcPr>
            <w:tcW w:w="2340" w:type="dxa"/>
          </w:tcPr>
          <w:p w14:paraId="10FE75E5" w14:textId="24EC5A1A" w:rsidR="00F0533D" w:rsidRDefault="099CDD95" w:rsidP="00407213">
            <w:r>
              <w:t>17</w:t>
            </w:r>
            <w:r w:rsidR="0FA0CAEB">
              <w:t>.</w:t>
            </w:r>
            <w:r>
              <w:t>7</w:t>
            </w:r>
          </w:p>
        </w:tc>
        <w:tc>
          <w:tcPr>
            <w:tcW w:w="3415" w:type="dxa"/>
          </w:tcPr>
          <w:p w14:paraId="0CFD9927" w14:textId="10A829B1" w:rsidR="00F0533D" w:rsidRDefault="099CDD95" w:rsidP="000D02A0">
            <w:pPr>
              <w:spacing w:after="120"/>
            </w:pPr>
            <w:r>
              <w:t>Quarterly; 15</w:t>
            </w:r>
            <w:r w:rsidRPr="099CDD95">
              <w:rPr>
                <w:vertAlign w:val="superscript"/>
              </w:rPr>
              <w:t>th</w:t>
            </w:r>
            <w:r>
              <w:t xml:space="preserve"> of the month following the reporting quarter</w:t>
            </w:r>
          </w:p>
        </w:tc>
      </w:tr>
      <w:tr w:rsidR="00F0533D" w14:paraId="06828090" w14:textId="77777777" w:rsidTr="1DC5033B">
        <w:tc>
          <w:tcPr>
            <w:tcW w:w="3595" w:type="dxa"/>
          </w:tcPr>
          <w:p w14:paraId="52161F65" w14:textId="3671F343" w:rsidR="00F0533D" w:rsidRDefault="099CDD95" w:rsidP="00407213">
            <w:r>
              <w:t>Annual marketing event report</w:t>
            </w:r>
          </w:p>
        </w:tc>
        <w:tc>
          <w:tcPr>
            <w:tcW w:w="2340" w:type="dxa"/>
          </w:tcPr>
          <w:p w14:paraId="35BF3B7C" w14:textId="1A4958B6" w:rsidR="00F0533D" w:rsidRDefault="099CDD95" w:rsidP="00407213">
            <w:r>
              <w:t>17</w:t>
            </w:r>
            <w:r w:rsidR="65CC407D">
              <w:t>.</w:t>
            </w:r>
            <w:r>
              <w:t>7</w:t>
            </w:r>
          </w:p>
        </w:tc>
        <w:tc>
          <w:tcPr>
            <w:tcW w:w="3415" w:type="dxa"/>
          </w:tcPr>
          <w:p w14:paraId="0459DD11" w14:textId="5BBB0724" w:rsidR="00F0533D" w:rsidRDefault="099CDD95" w:rsidP="000D02A0">
            <w:pPr>
              <w:spacing w:after="120"/>
            </w:pPr>
            <w:r>
              <w:t>Annually; February 28</w:t>
            </w:r>
          </w:p>
        </w:tc>
      </w:tr>
      <w:tr w:rsidR="004A159F" w14:paraId="481AFFCB" w14:textId="77777777" w:rsidTr="1DC5033B">
        <w:tc>
          <w:tcPr>
            <w:tcW w:w="3595" w:type="dxa"/>
          </w:tcPr>
          <w:p w14:paraId="18E220AF" w14:textId="233C3F90" w:rsidR="004A159F" w:rsidRDefault="099CDD95" w:rsidP="00407213">
            <w:r>
              <w:t>Enrollment file discrepancy report</w:t>
            </w:r>
          </w:p>
        </w:tc>
        <w:tc>
          <w:tcPr>
            <w:tcW w:w="2340" w:type="dxa"/>
          </w:tcPr>
          <w:p w14:paraId="360C9D03" w14:textId="5A60B80D" w:rsidR="004A159F" w:rsidRDefault="099CDD95" w:rsidP="00407213">
            <w:r>
              <w:t>18</w:t>
            </w:r>
            <w:r w:rsidR="00A1EA5A">
              <w:t>.</w:t>
            </w:r>
            <w:r w:rsidR="001B15E9">
              <w:t>5</w:t>
            </w:r>
          </w:p>
        </w:tc>
        <w:tc>
          <w:tcPr>
            <w:tcW w:w="3415" w:type="dxa"/>
          </w:tcPr>
          <w:p w14:paraId="1CF041DA" w14:textId="4DCBC459" w:rsidR="004A159F" w:rsidRDefault="099CDD95" w:rsidP="000D02A0">
            <w:pPr>
              <w:spacing w:after="120"/>
            </w:pPr>
            <w:r>
              <w:t>Monthly; 5 Business Days after receipt of supplemental enrollment file</w:t>
            </w:r>
          </w:p>
        </w:tc>
      </w:tr>
      <w:tr w:rsidR="004A159F" w14:paraId="08687829" w14:textId="77777777" w:rsidTr="1DC5033B">
        <w:tc>
          <w:tcPr>
            <w:tcW w:w="3595" w:type="dxa"/>
          </w:tcPr>
          <w:p w14:paraId="71EE8B67" w14:textId="22958642" w:rsidR="004A159F" w:rsidRDefault="099CDD95" w:rsidP="00407213">
            <w:r>
              <w:t>Enrollee rights policies</w:t>
            </w:r>
          </w:p>
        </w:tc>
        <w:tc>
          <w:tcPr>
            <w:tcW w:w="2340" w:type="dxa"/>
          </w:tcPr>
          <w:p w14:paraId="6766DBD0" w14:textId="63B377DF" w:rsidR="004A159F" w:rsidRDefault="099CDD95" w:rsidP="00407213">
            <w:r>
              <w:t>19</w:t>
            </w:r>
          </w:p>
        </w:tc>
        <w:tc>
          <w:tcPr>
            <w:tcW w:w="3415" w:type="dxa"/>
          </w:tcPr>
          <w:p w14:paraId="700B9BE4" w14:textId="5D9A381D" w:rsidR="004A159F" w:rsidRDefault="099CDD95" w:rsidP="000D02A0">
            <w:pPr>
              <w:spacing w:after="120"/>
            </w:pPr>
            <w:r>
              <w:t>Date established in approved implementation plan</w:t>
            </w:r>
          </w:p>
        </w:tc>
      </w:tr>
      <w:tr w:rsidR="004A159F" w14:paraId="5B90BCDF" w14:textId="77777777" w:rsidTr="1DC5033B">
        <w:tc>
          <w:tcPr>
            <w:tcW w:w="3595" w:type="dxa"/>
          </w:tcPr>
          <w:p w14:paraId="1926269F" w14:textId="4663CC9E" w:rsidR="004A159F" w:rsidRDefault="099CDD95" w:rsidP="00407213">
            <w:r>
              <w:t>Cultural competency plan</w:t>
            </w:r>
          </w:p>
        </w:tc>
        <w:tc>
          <w:tcPr>
            <w:tcW w:w="2340" w:type="dxa"/>
          </w:tcPr>
          <w:p w14:paraId="67A46C77" w14:textId="3580D867" w:rsidR="004A159F" w:rsidRDefault="099CDD95" w:rsidP="00407213">
            <w:r>
              <w:t>20</w:t>
            </w:r>
          </w:p>
        </w:tc>
        <w:tc>
          <w:tcPr>
            <w:tcW w:w="3415" w:type="dxa"/>
          </w:tcPr>
          <w:p w14:paraId="3007F52C" w14:textId="77777777" w:rsidR="004A159F" w:rsidRDefault="099CDD95" w:rsidP="000D02A0">
            <w:pPr>
              <w:spacing w:after="120"/>
            </w:pPr>
            <w:r>
              <w:t>Date established in approved implementation plan</w:t>
            </w:r>
          </w:p>
          <w:p w14:paraId="29E1EEBE" w14:textId="4D7E4ADD" w:rsidR="0084018A" w:rsidRDefault="099CDD95" w:rsidP="000D02A0">
            <w:pPr>
              <w:spacing w:after="120"/>
            </w:pPr>
            <w:r>
              <w:t>Annually; November 1</w:t>
            </w:r>
          </w:p>
        </w:tc>
      </w:tr>
      <w:tr w:rsidR="004A159F" w14:paraId="2D5561C3" w14:textId="77777777" w:rsidTr="1DC5033B">
        <w:tc>
          <w:tcPr>
            <w:tcW w:w="3595" w:type="dxa"/>
          </w:tcPr>
          <w:p w14:paraId="45D3F982" w14:textId="73894C19" w:rsidR="004A159F" w:rsidRDefault="099CDD95" w:rsidP="00407213">
            <w:r>
              <w:t>Parity assessment</w:t>
            </w:r>
          </w:p>
        </w:tc>
        <w:tc>
          <w:tcPr>
            <w:tcW w:w="2340" w:type="dxa"/>
          </w:tcPr>
          <w:p w14:paraId="7017D766" w14:textId="4A6A3944" w:rsidR="004A159F" w:rsidRDefault="099CDD95" w:rsidP="00407213">
            <w:r>
              <w:t>22</w:t>
            </w:r>
            <w:r w:rsidR="14C23AC4">
              <w:t>.</w:t>
            </w:r>
            <w:r w:rsidR="00151465">
              <w:t>2</w:t>
            </w:r>
          </w:p>
        </w:tc>
        <w:tc>
          <w:tcPr>
            <w:tcW w:w="3415" w:type="dxa"/>
          </w:tcPr>
          <w:p w14:paraId="5DAF68D3" w14:textId="53129CD2" w:rsidR="004A159F" w:rsidRDefault="099CDD95" w:rsidP="000D02A0">
            <w:pPr>
              <w:spacing w:after="120"/>
            </w:pPr>
            <w:r>
              <w:t>Date established in approved implementation plan</w:t>
            </w:r>
          </w:p>
        </w:tc>
      </w:tr>
      <w:tr w:rsidR="004A159F" w14:paraId="3341606D" w14:textId="77777777" w:rsidTr="1DC5033B">
        <w:tc>
          <w:tcPr>
            <w:tcW w:w="3595" w:type="dxa"/>
          </w:tcPr>
          <w:p w14:paraId="5500A503" w14:textId="6DE8B4DC" w:rsidR="004A159F" w:rsidRDefault="099CDD95" w:rsidP="00407213">
            <w:r>
              <w:t>Lifetime limit report</w:t>
            </w:r>
          </w:p>
        </w:tc>
        <w:tc>
          <w:tcPr>
            <w:tcW w:w="2340" w:type="dxa"/>
          </w:tcPr>
          <w:p w14:paraId="14C73A09" w14:textId="3D6135B7" w:rsidR="004A159F" w:rsidRDefault="099CDD95" w:rsidP="00407213">
            <w:r>
              <w:t>22</w:t>
            </w:r>
            <w:r w:rsidR="7281DEDE">
              <w:t>.</w:t>
            </w:r>
            <w:r w:rsidR="00151465">
              <w:t>3</w:t>
            </w:r>
          </w:p>
        </w:tc>
        <w:tc>
          <w:tcPr>
            <w:tcW w:w="3415" w:type="dxa"/>
          </w:tcPr>
          <w:p w14:paraId="3A0A2BDC" w14:textId="25E6104C" w:rsidR="004A159F" w:rsidRDefault="099CDD95" w:rsidP="000D02A0">
            <w:pPr>
              <w:spacing w:after="120"/>
            </w:pPr>
            <w:r>
              <w:t>Monthly; 5</w:t>
            </w:r>
            <w:r w:rsidRPr="099CDD95">
              <w:rPr>
                <w:vertAlign w:val="superscript"/>
              </w:rPr>
              <w:t>th</w:t>
            </w:r>
            <w:r>
              <w:t xml:space="preserve"> of the month following the reporting month</w:t>
            </w:r>
          </w:p>
        </w:tc>
      </w:tr>
      <w:tr w:rsidR="004A159F" w14:paraId="56C1B7CD" w14:textId="77777777" w:rsidTr="1DC5033B">
        <w:tc>
          <w:tcPr>
            <w:tcW w:w="3595" w:type="dxa"/>
          </w:tcPr>
          <w:p w14:paraId="0C3570CB" w14:textId="6A3CC1C9" w:rsidR="004A159F" w:rsidRDefault="099CDD95" w:rsidP="00407213">
            <w:r>
              <w:t>Disease and case management report</w:t>
            </w:r>
          </w:p>
        </w:tc>
        <w:tc>
          <w:tcPr>
            <w:tcW w:w="2340" w:type="dxa"/>
          </w:tcPr>
          <w:p w14:paraId="7934D0B8" w14:textId="702B2DA5" w:rsidR="004A159F" w:rsidRDefault="099CDD95" w:rsidP="00407213">
            <w:r>
              <w:t>22</w:t>
            </w:r>
            <w:r w:rsidR="1B71569C">
              <w:t>.</w:t>
            </w:r>
            <w:r w:rsidR="007975D4">
              <w:t>9</w:t>
            </w:r>
          </w:p>
        </w:tc>
        <w:tc>
          <w:tcPr>
            <w:tcW w:w="3415" w:type="dxa"/>
          </w:tcPr>
          <w:p w14:paraId="7A3823C8" w14:textId="4B095C7C" w:rsidR="004A159F" w:rsidRDefault="099CDD95" w:rsidP="000D02A0">
            <w:pPr>
              <w:spacing w:after="120"/>
            </w:pPr>
            <w:r>
              <w:t>Quarterly; by the 15</w:t>
            </w:r>
            <w:r w:rsidRPr="099CDD95">
              <w:rPr>
                <w:vertAlign w:val="superscript"/>
              </w:rPr>
              <w:t>th</w:t>
            </w:r>
            <w:r>
              <w:t xml:space="preserve"> of the second month following the reporting quarter.</w:t>
            </w:r>
          </w:p>
        </w:tc>
      </w:tr>
      <w:tr w:rsidR="00361F4A" w14:paraId="60F2021F" w14:textId="77777777" w:rsidTr="1DC5033B">
        <w:tc>
          <w:tcPr>
            <w:tcW w:w="3595" w:type="dxa"/>
          </w:tcPr>
          <w:p w14:paraId="0DBC437B" w14:textId="4ADC507C" w:rsidR="00361F4A" w:rsidRDefault="099CDD95" w:rsidP="00407213">
            <w:r>
              <w:t>Transition of care policy</w:t>
            </w:r>
          </w:p>
        </w:tc>
        <w:tc>
          <w:tcPr>
            <w:tcW w:w="2340" w:type="dxa"/>
          </w:tcPr>
          <w:p w14:paraId="0A758E5E" w14:textId="43830163" w:rsidR="00361F4A" w:rsidRDefault="099CDD95" w:rsidP="00407213">
            <w:r>
              <w:t>22-</w:t>
            </w:r>
            <w:r w:rsidR="00255935">
              <w:t>10</w:t>
            </w:r>
          </w:p>
        </w:tc>
        <w:tc>
          <w:tcPr>
            <w:tcW w:w="3415" w:type="dxa"/>
          </w:tcPr>
          <w:p w14:paraId="5AE366F7" w14:textId="7B3ECC52" w:rsidR="00361F4A" w:rsidRDefault="099CDD95" w:rsidP="000D02A0">
            <w:pPr>
              <w:spacing w:after="120"/>
            </w:pPr>
            <w:r>
              <w:t>Date established in approved implementation plan</w:t>
            </w:r>
          </w:p>
        </w:tc>
      </w:tr>
      <w:tr w:rsidR="00361F4A" w14:paraId="37BCE092" w14:textId="77777777" w:rsidTr="1DC5033B">
        <w:tc>
          <w:tcPr>
            <w:tcW w:w="3595" w:type="dxa"/>
          </w:tcPr>
          <w:p w14:paraId="5E731AAF" w14:textId="7EAFB952" w:rsidR="00361F4A" w:rsidRDefault="099CDD95" w:rsidP="00407213">
            <w:r>
              <w:t>Grievances and Appeals Report</w:t>
            </w:r>
          </w:p>
        </w:tc>
        <w:tc>
          <w:tcPr>
            <w:tcW w:w="2340" w:type="dxa"/>
          </w:tcPr>
          <w:p w14:paraId="00D381AC" w14:textId="5BE46663" w:rsidR="00361F4A" w:rsidRDefault="099CDD95" w:rsidP="00407213">
            <w:r>
              <w:t>23</w:t>
            </w:r>
          </w:p>
        </w:tc>
        <w:tc>
          <w:tcPr>
            <w:tcW w:w="3415" w:type="dxa"/>
          </w:tcPr>
          <w:p w14:paraId="4D224BA5" w14:textId="64CDA00F" w:rsidR="00361F4A" w:rsidRDefault="099CDD95" w:rsidP="000D02A0">
            <w:pPr>
              <w:spacing w:after="120"/>
            </w:pPr>
            <w:r>
              <w:t>Quarterly; 15</w:t>
            </w:r>
            <w:r w:rsidRPr="099CDD95">
              <w:rPr>
                <w:vertAlign w:val="superscript"/>
              </w:rPr>
              <w:t>th</w:t>
            </w:r>
            <w:r>
              <w:t xml:space="preserve"> of the month following the reporting quarter</w:t>
            </w:r>
          </w:p>
        </w:tc>
      </w:tr>
      <w:tr w:rsidR="00361F4A" w14:paraId="7B4DF37E" w14:textId="77777777" w:rsidTr="1DC5033B">
        <w:tc>
          <w:tcPr>
            <w:tcW w:w="3595" w:type="dxa"/>
          </w:tcPr>
          <w:p w14:paraId="32F06F9C" w14:textId="27885B0E" w:rsidR="00361F4A" w:rsidRDefault="099CDD95" w:rsidP="00407213">
            <w:r>
              <w:t>Network add/term report</w:t>
            </w:r>
          </w:p>
        </w:tc>
        <w:tc>
          <w:tcPr>
            <w:tcW w:w="2340" w:type="dxa"/>
          </w:tcPr>
          <w:p w14:paraId="4CF691C8" w14:textId="13D902EB" w:rsidR="00361F4A" w:rsidRDefault="099CDD95" w:rsidP="00407213">
            <w:r>
              <w:t>24</w:t>
            </w:r>
            <w:r w:rsidR="203A3E18">
              <w:t>.</w:t>
            </w:r>
            <w:r>
              <w:t>1</w:t>
            </w:r>
          </w:p>
        </w:tc>
        <w:tc>
          <w:tcPr>
            <w:tcW w:w="3415" w:type="dxa"/>
          </w:tcPr>
          <w:p w14:paraId="2A4384E4" w14:textId="0769F186" w:rsidR="00361F4A" w:rsidRDefault="099CDD95" w:rsidP="000D02A0">
            <w:pPr>
              <w:spacing w:after="120"/>
            </w:pPr>
            <w:r>
              <w:t>Monthly; 5</w:t>
            </w:r>
            <w:r w:rsidRPr="099CDD95">
              <w:rPr>
                <w:vertAlign w:val="superscript"/>
              </w:rPr>
              <w:t>th</w:t>
            </w:r>
            <w:r>
              <w:t xml:space="preserve"> of the month following the reporting month</w:t>
            </w:r>
          </w:p>
        </w:tc>
      </w:tr>
      <w:tr w:rsidR="00361F4A" w14:paraId="310BA1D3" w14:textId="77777777" w:rsidTr="1DC5033B">
        <w:tc>
          <w:tcPr>
            <w:tcW w:w="3595" w:type="dxa"/>
          </w:tcPr>
          <w:p w14:paraId="12AED987" w14:textId="4D57BF19" w:rsidR="00361F4A" w:rsidRDefault="099CDD95" w:rsidP="00407213">
            <w:r>
              <w:t>Electronic health record meaningful use report</w:t>
            </w:r>
          </w:p>
        </w:tc>
        <w:tc>
          <w:tcPr>
            <w:tcW w:w="2340" w:type="dxa"/>
          </w:tcPr>
          <w:p w14:paraId="58DBD4FA" w14:textId="269CA275" w:rsidR="00361F4A" w:rsidRDefault="099CDD95" w:rsidP="00407213">
            <w:r>
              <w:t>24</w:t>
            </w:r>
            <w:r w:rsidR="4CC1ABCE">
              <w:t>.</w:t>
            </w:r>
            <w:r w:rsidR="00910211">
              <w:t>5</w:t>
            </w:r>
            <w:r w:rsidR="05E059A8">
              <w:t>.</w:t>
            </w:r>
            <w:r w:rsidR="00910211">
              <w:t>2</w:t>
            </w:r>
          </w:p>
        </w:tc>
        <w:tc>
          <w:tcPr>
            <w:tcW w:w="3415" w:type="dxa"/>
          </w:tcPr>
          <w:p w14:paraId="048658DC" w14:textId="53AE993D" w:rsidR="00361F4A" w:rsidRDefault="099CDD95" w:rsidP="000D02A0">
            <w:pPr>
              <w:spacing w:after="120"/>
            </w:pPr>
            <w:r>
              <w:t>Annually; July 1, beginning July 1 2021</w:t>
            </w:r>
          </w:p>
        </w:tc>
      </w:tr>
      <w:tr w:rsidR="00F255F4" w14:paraId="2438FA57" w14:textId="77777777" w:rsidTr="1DC5033B">
        <w:tc>
          <w:tcPr>
            <w:tcW w:w="3595" w:type="dxa"/>
          </w:tcPr>
          <w:p w14:paraId="2F5827B6" w14:textId="539CB5AE" w:rsidR="00F255F4" w:rsidRDefault="099CDD95" w:rsidP="00F255F4">
            <w:r>
              <w:t>FQHC/RHC report</w:t>
            </w:r>
          </w:p>
        </w:tc>
        <w:tc>
          <w:tcPr>
            <w:tcW w:w="2340" w:type="dxa"/>
          </w:tcPr>
          <w:p w14:paraId="63F837B3" w14:textId="46B87682" w:rsidR="00F255F4" w:rsidRDefault="099CDD95" w:rsidP="00F255F4">
            <w:r>
              <w:t>24</w:t>
            </w:r>
            <w:r w:rsidR="5FD17F9E">
              <w:t>.</w:t>
            </w:r>
            <w:r w:rsidR="00DD44C2">
              <w:t>7</w:t>
            </w:r>
          </w:p>
        </w:tc>
        <w:tc>
          <w:tcPr>
            <w:tcW w:w="3415" w:type="dxa"/>
          </w:tcPr>
          <w:p w14:paraId="447DABEA" w14:textId="581CD980" w:rsidR="00F255F4" w:rsidRDefault="099CDD95" w:rsidP="00F255F4">
            <w:pPr>
              <w:spacing w:after="120"/>
            </w:pPr>
            <w:r>
              <w:t>Quarterly; 15</w:t>
            </w:r>
            <w:r w:rsidRPr="099CDD95">
              <w:rPr>
                <w:vertAlign w:val="superscript"/>
              </w:rPr>
              <w:t>th</w:t>
            </w:r>
            <w:r>
              <w:t xml:space="preserve"> of the month following the reporting quarter</w:t>
            </w:r>
          </w:p>
        </w:tc>
      </w:tr>
      <w:tr w:rsidR="00F255F4" w14:paraId="56C3B49B" w14:textId="77777777" w:rsidTr="1DC5033B">
        <w:tc>
          <w:tcPr>
            <w:tcW w:w="3595" w:type="dxa"/>
          </w:tcPr>
          <w:p w14:paraId="0835E180" w14:textId="34622128" w:rsidR="00F255F4" w:rsidRDefault="099CDD95" w:rsidP="00F255F4">
            <w:r>
              <w:t>IHCP report</w:t>
            </w:r>
          </w:p>
        </w:tc>
        <w:tc>
          <w:tcPr>
            <w:tcW w:w="2340" w:type="dxa"/>
          </w:tcPr>
          <w:p w14:paraId="1618AD11" w14:textId="01FD2940" w:rsidR="00F255F4" w:rsidRDefault="099CDD95" w:rsidP="00F255F4">
            <w:r>
              <w:t>24</w:t>
            </w:r>
            <w:r w:rsidR="5AE373B9">
              <w:t>.</w:t>
            </w:r>
            <w:r w:rsidR="009067D7">
              <w:t>8</w:t>
            </w:r>
          </w:p>
        </w:tc>
        <w:tc>
          <w:tcPr>
            <w:tcW w:w="3415" w:type="dxa"/>
          </w:tcPr>
          <w:p w14:paraId="4BB4162E" w14:textId="30DC9415" w:rsidR="00F255F4" w:rsidRDefault="099CDD95" w:rsidP="00F255F4">
            <w:pPr>
              <w:spacing w:after="120"/>
            </w:pPr>
            <w:r>
              <w:t>Quarterly; 15</w:t>
            </w:r>
            <w:r w:rsidRPr="099CDD95">
              <w:rPr>
                <w:vertAlign w:val="superscript"/>
              </w:rPr>
              <w:t>th</w:t>
            </w:r>
            <w:r>
              <w:t xml:space="preserve"> of the month following the reporting quarter</w:t>
            </w:r>
          </w:p>
        </w:tc>
      </w:tr>
      <w:tr w:rsidR="00F255F4" w14:paraId="7FACA834" w14:textId="77777777" w:rsidTr="1DC5033B">
        <w:tc>
          <w:tcPr>
            <w:tcW w:w="3595" w:type="dxa"/>
          </w:tcPr>
          <w:p w14:paraId="41FB29A0" w14:textId="7CD65D96" w:rsidR="00F255F4" w:rsidRDefault="099CDD95" w:rsidP="00F255F4">
            <w:r>
              <w:t>Adequate capacity to serve</w:t>
            </w:r>
          </w:p>
        </w:tc>
        <w:tc>
          <w:tcPr>
            <w:tcW w:w="2340" w:type="dxa"/>
          </w:tcPr>
          <w:p w14:paraId="5B78B777" w14:textId="0CAA5301" w:rsidR="00F255F4" w:rsidRDefault="099CDD95" w:rsidP="00F255F4">
            <w:r>
              <w:t>24</w:t>
            </w:r>
            <w:r w:rsidR="587692D5">
              <w:t>.</w:t>
            </w:r>
            <w:r w:rsidR="00AA45BD">
              <w:t>9</w:t>
            </w:r>
          </w:p>
        </w:tc>
        <w:tc>
          <w:tcPr>
            <w:tcW w:w="3415" w:type="dxa"/>
          </w:tcPr>
          <w:p w14:paraId="7500EC95" w14:textId="77777777" w:rsidR="00F255F4" w:rsidRDefault="099CDD95" w:rsidP="00F255F4">
            <w:pPr>
              <w:spacing w:after="120"/>
            </w:pPr>
            <w:r>
              <w:t>Upon Contract execution</w:t>
            </w:r>
          </w:p>
          <w:p w14:paraId="7EB81DCF" w14:textId="77777777" w:rsidR="003C1E07" w:rsidRDefault="099CDD95" w:rsidP="00F255F4">
            <w:pPr>
              <w:spacing w:after="120"/>
            </w:pPr>
            <w:r>
              <w:t>Annually; July 1</w:t>
            </w:r>
          </w:p>
          <w:p w14:paraId="41233B74" w14:textId="57FE602C" w:rsidR="003C1E07" w:rsidRDefault="099CDD95" w:rsidP="00F255F4">
            <w:pPr>
              <w:spacing w:after="120"/>
            </w:pPr>
            <w:r>
              <w:t>Upon significant change in Insurer’s operations</w:t>
            </w:r>
          </w:p>
        </w:tc>
      </w:tr>
      <w:tr w:rsidR="00F255F4" w14:paraId="17485E8E" w14:textId="77777777" w:rsidTr="1DC5033B">
        <w:tc>
          <w:tcPr>
            <w:tcW w:w="3595" w:type="dxa"/>
          </w:tcPr>
          <w:p w14:paraId="15AA4692" w14:textId="05895978" w:rsidR="00F255F4" w:rsidRDefault="099CDD95" w:rsidP="00F255F4">
            <w:r>
              <w:t>Geographic network access report</w:t>
            </w:r>
          </w:p>
        </w:tc>
        <w:tc>
          <w:tcPr>
            <w:tcW w:w="2340" w:type="dxa"/>
          </w:tcPr>
          <w:p w14:paraId="40620D74" w14:textId="57124D38" w:rsidR="00F255F4" w:rsidRDefault="099CDD95" w:rsidP="00F255F4">
            <w:r>
              <w:t>24</w:t>
            </w:r>
            <w:r w:rsidR="5F09726E">
              <w:t>.</w:t>
            </w:r>
            <w:r w:rsidR="00AA45BD">
              <w:t>9</w:t>
            </w:r>
            <w:r w:rsidR="2311F8CD">
              <w:t>.</w:t>
            </w:r>
            <w:r w:rsidR="00AA45BD">
              <w:t>1</w:t>
            </w:r>
          </w:p>
        </w:tc>
        <w:tc>
          <w:tcPr>
            <w:tcW w:w="3415" w:type="dxa"/>
          </w:tcPr>
          <w:p w14:paraId="0CAB00BF" w14:textId="68C50AFD" w:rsidR="00F255F4" w:rsidRDefault="099CDD95" w:rsidP="00F255F4">
            <w:pPr>
              <w:spacing w:after="120"/>
            </w:pPr>
            <w:r>
              <w:t>Quarterly; by the 15</w:t>
            </w:r>
            <w:r w:rsidRPr="099CDD95">
              <w:rPr>
                <w:vertAlign w:val="superscript"/>
              </w:rPr>
              <w:t>th</w:t>
            </w:r>
            <w:r>
              <w:t xml:space="preserve"> of the second month following the reporting quarter.</w:t>
            </w:r>
          </w:p>
        </w:tc>
      </w:tr>
      <w:tr w:rsidR="00F255F4" w14:paraId="70CF88C8" w14:textId="77777777" w:rsidTr="1DC5033B">
        <w:tc>
          <w:tcPr>
            <w:tcW w:w="3595" w:type="dxa"/>
          </w:tcPr>
          <w:p w14:paraId="6F1CE3C9" w14:textId="71C966F4" w:rsidR="00F255F4" w:rsidRDefault="099CDD95" w:rsidP="00F255F4">
            <w:r>
              <w:t>Service area exemption reports</w:t>
            </w:r>
          </w:p>
        </w:tc>
        <w:tc>
          <w:tcPr>
            <w:tcW w:w="2340" w:type="dxa"/>
          </w:tcPr>
          <w:p w14:paraId="425B86DD" w14:textId="1603500A" w:rsidR="00F255F4" w:rsidRDefault="099CDD95" w:rsidP="00F255F4">
            <w:r>
              <w:t>24</w:t>
            </w:r>
            <w:r w:rsidR="61986DEA">
              <w:t>.</w:t>
            </w:r>
            <w:r w:rsidR="00AA45BD">
              <w:t>9</w:t>
            </w:r>
            <w:r w:rsidR="01B2254C">
              <w:t>.</w:t>
            </w:r>
            <w:r>
              <w:t>2</w:t>
            </w:r>
          </w:p>
        </w:tc>
        <w:tc>
          <w:tcPr>
            <w:tcW w:w="3415" w:type="dxa"/>
          </w:tcPr>
          <w:p w14:paraId="4C51950A" w14:textId="1A8E1CDB" w:rsidR="00F255F4" w:rsidRDefault="099CDD95" w:rsidP="00F255F4">
            <w:pPr>
              <w:spacing w:after="120"/>
            </w:pPr>
            <w:r>
              <w:t>Quarterly; 20</w:t>
            </w:r>
            <w:r w:rsidRPr="099CDD95">
              <w:rPr>
                <w:vertAlign w:val="superscript"/>
              </w:rPr>
              <w:t>th</w:t>
            </w:r>
            <w:r>
              <w:t xml:space="preserve"> of the month following the reporting quarter</w:t>
            </w:r>
          </w:p>
        </w:tc>
      </w:tr>
      <w:tr w:rsidR="00F255F4" w14:paraId="643285BE" w14:textId="77777777" w:rsidTr="1DC5033B">
        <w:tc>
          <w:tcPr>
            <w:tcW w:w="3595" w:type="dxa"/>
          </w:tcPr>
          <w:p w14:paraId="6D624211" w14:textId="164A2295" w:rsidR="00F255F4" w:rsidRDefault="099CDD95" w:rsidP="00F255F4">
            <w:r>
              <w:t>Claims payment address(es)</w:t>
            </w:r>
          </w:p>
        </w:tc>
        <w:tc>
          <w:tcPr>
            <w:tcW w:w="2340" w:type="dxa"/>
          </w:tcPr>
          <w:p w14:paraId="6D8D7BA9" w14:textId="4DA52E80" w:rsidR="00F255F4" w:rsidRDefault="099CDD95" w:rsidP="00F255F4">
            <w:r>
              <w:t>24</w:t>
            </w:r>
            <w:r w:rsidR="533FD9CB">
              <w:t>.</w:t>
            </w:r>
            <w:r w:rsidR="00AA45BD">
              <w:t>12</w:t>
            </w:r>
            <w:r w:rsidR="120EE4C5">
              <w:t>.</w:t>
            </w:r>
            <w:r>
              <w:t>1</w:t>
            </w:r>
          </w:p>
        </w:tc>
        <w:tc>
          <w:tcPr>
            <w:tcW w:w="3415" w:type="dxa"/>
          </w:tcPr>
          <w:p w14:paraId="67CDFB67" w14:textId="2A8416F2" w:rsidR="00F255F4" w:rsidRDefault="099CDD95" w:rsidP="00F255F4">
            <w:pPr>
              <w:spacing w:after="120"/>
            </w:pPr>
            <w:r>
              <w:t>Date established in approved implementation plan</w:t>
            </w:r>
          </w:p>
        </w:tc>
      </w:tr>
      <w:tr w:rsidR="00271B8E" w14:paraId="521C5EC9" w14:textId="77777777" w:rsidTr="1DC5033B">
        <w:tc>
          <w:tcPr>
            <w:tcW w:w="3595" w:type="dxa"/>
          </w:tcPr>
          <w:p w14:paraId="17271D60" w14:textId="42E43837" w:rsidR="00271B8E" w:rsidRDefault="099CDD95" w:rsidP="00F255F4">
            <w:r>
              <w:t>Claims processing report</w:t>
            </w:r>
          </w:p>
        </w:tc>
        <w:tc>
          <w:tcPr>
            <w:tcW w:w="2340" w:type="dxa"/>
          </w:tcPr>
          <w:p w14:paraId="529EB7DA" w14:textId="4F84481F" w:rsidR="00271B8E" w:rsidRDefault="099CDD95" w:rsidP="00F255F4">
            <w:r>
              <w:t>24</w:t>
            </w:r>
            <w:r w:rsidR="1C539344">
              <w:t>.</w:t>
            </w:r>
            <w:r w:rsidR="00AA45BD">
              <w:t>12</w:t>
            </w:r>
            <w:r w:rsidR="6098C82D">
              <w:t>.</w:t>
            </w:r>
            <w:r>
              <w:t>1</w:t>
            </w:r>
          </w:p>
        </w:tc>
        <w:tc>
          <w:tcPr>
            <w:tcW w:w="3415" w:type="dxa"/>
          </w:tcPr>
          <w:p w14:paraId="2E000714" w14:textId="52D83877" w:rsidR="00271B8E" w:rsidRPr="008B6166" w:rsidRDefault="099CDD95" w:rsidP="00F255F4">
            <w:pPr>
              <w:spacing w:after="120"/>
            </w:pPr>
            <w:r>
              <w:t>Quarterly; 15</w:t>
            </w:r>
            <w:r w:rsidRPr="099CDD95">
              <w:rPr>
                <w:vertAlign w:val="superscript"/>
              </w:rPr>
              <w:t>th</w:t>
            </w:r>
            <w:r>
              <w:t xml:space="preserve"> of the month following the reporting quarter</w:t>
            </w:r>
          </w:p>
        </w:tc>
      </w:tr>
      <w:tr w:rsidR="00271B8E" w14:paraId="3037C18C" w14:textId="77777777" w:rsidTr="1DC5033B">
        <w:tc>
          <w:tcPr>
            <w:tcW w:w="3595" w:type="dxa"/>
          </w:tcPr>
          <w:p w14:paraId="55197590" w14:textId="4A7B1F47" w:rsidR="00271B8E" w:rsidRDefault="099CDD95" w:rsidP="00F255F4">
            <w:r>
              <w:t>Capitated arrangements report</w:t>
            </w:r>
          </w:p>
        </w:tc>
        <w:tc>
          <w:tcPr>
            <w:tcW w:w="2340" w:type="dxa"/>
          </w:tcPr>
          <w:p w14:paraId="4CBFF5F8" w14:textId="65CD84D4" w:rsidR="00271B8E" w:rsidRDefault="099CDD95" w:rsidP="00F255F4">
            <w:r>
              <w:t>24</w:t>
            </w:r>
            <w:r w:rsidR="45B05059">
              <w:t>.</w:t>
            </w:r>
            <w:r w:rsidR="00AA45BD">
              <w:t>12</w:t>
            </w:r>
            <w:r w:rsidR="2AC603E0">
              <w:t>.</w:t>
            </w:r>
            <w:r>
              <w:t>2</w:t>
            </w:r>
          </w:p>
        </w:tc>
        <w:tc>
          <w:tcPr>
            <w:tcW w:w="3415" w:type="dxa"/>
          </w:tcPr>
          <w:p w14:paraId="7B4C1111" w14:textId="29CF4D06" w:rsidR="00271B8E" w:rsidRPr="008B6166" w:rsidRDefault="099CDD95" w:rsidP="00F255F4">
            <w:pPr>
              <w:spacing w:after="120"/>
            </w:pPr>
            <w:r>
              <w:t>Annually; February 1</w:t>
            </w:r>
          </w:p>
        </w:tc>
      </w:tr>
      <w:tr w:rsidR="00271B8E" w14:paraId="7F8D4DF2" w14:textId="77777777" w:rsidTr="1DC5033B">
        <w:tc>
          <w:tcPr>
            <w:tcW w:w="3595" w:type="dxa"/>
          </w:tcPr>
          <w:p w14:paraId="5D67E1C2" w14:textId="5FF57789" w:rsidR="00271B8E" w:rsidRDefault="099CDD95" w:rsidP="00F255F4">
            <w:r>
              <w:t>Provider overpayment report</w:t>
            </w:r>
          </w:p>
        </w:tc>
        <w:tc>
          <w:tcPr>
            <w:tcW w:w="2340" w:type="dxa"/>
          </w:tcPr>
          <w:p w14:paraId="754CC3C3" w14:textId="3F2F290D" w:rsidR="00271B8E" w:rsidRDefault="099CDD95" w:rsidP="00F255F4">
            <w:r>
              <w:t>24</w:t>
            </w:r>
            <w:r w:rsidR="7D152173">
              <w:t>.</w:t>
            </w:r>
            <w:r w:rsidR="00AA45BD">
              <w:t>12</w:t>
            </w:r>
            <w:r w:rsidR="0B585310">
              <w:t>.</w:t>
            </w:r>
            <w:r>
              <w:t>3</w:t>
            </w:r>
          </w:p>
        </w:tc>
        <w:tc>
          <w:tcPr>
            <w:tcW w:w="3415" w:type="dxa"/>
          </w:tcPr>
          <w:p w14:paraId="1CFF0C73" w14:textId="6D75F668" w:rsidR="00271B8E" w:rsidRPr="008B6166" w:rsidRDefault="099CDD95" w:rsidP="00F255F4">
            <w:pPr>
              <w:spacing w:after="120"/>
            </w:pPr>
            <w:r>
              <w:t>Annually; July 1</w:t>
            </w:r>
          </w:p>
        </w:tc>
      </w:tr>
      <w:tr w:rsidR="008D3ECC" w14:paraId="4582F214" w14:textId="77777777" w:rsidTr="1DC5033B">
        <w:tc>
          <w:tcPr>
            <w:tcW w:w="3595" w:type="dxa"/>
          </w:tcPr>
          <w:p w14:paraId="47DF1EC3" w14:textId="2FEA2058" w:rsidR="008D3ECC" w:rsidRDefault="099CDD95" w:rsidP="00F255F4">
            <w:r>
              <w:t>Fraud and Abuse policies</w:t>
            </w:r>
          </w:p>
        </w:tc>
        <w:tc>
          <w:tcPr>
            <w:tcW w:w="2340" w:type="dxa"/>
          </w:tcPr>
          <w:p w14:paraId="55ABEBF1" w14:textId="189B6453" w:rsidR="008D3ECC" w:rsidRDefault="099CDD95" w:rsidP="00F255F4">
            <w:r>
              <w:t>25</w:t>
            </w:r>
          </w:p>
        </w:tc>
        <w:tc>
          <w:tcPr>
            <w:tcW w:w="3415" w:type="dxa"/>
          </w:tcPr>
          <w:p w14:paraId="3F8752DE" w14:textId="4B63868F" w:rsidR="008D3ECC" w:rsidRDefault="099CDD95" w:rsidP="00F255F4">
            <w:pPr>
              <w:spacing w:after="120"/>
            </w:pPr>
            <w:r>
              <w:t>Date established in approved implementation plan</w:t>
            </w:r>
          </w:p>
        </w:tc>
      </w:tr>
      <w:tr w:rsidR="008D3ECC" w14:paraId="26AE8055" w14:textId="77777777" w:rsidTr="1DC5033B">
        <w:tc>
          <w:tcPr>
            <w:tcW w:w="3595" w:type="dxa"/>
          </w:tcPr>
          <w:p w14:paraId="421967AB" w14:textId="06287433" w:rsidR="008D3ECC" w:rsidRDefault="099CDD95" w:rsidP="00F255F4">
            <w:r>
              <w:t>Fraud and Abuse report</w:t>
            </w:r>
          </w:p>
        </w:tc>
        <w:tc>
          <w:tcPr>
            <w:tcW w:w="2340" w:type="dxa"/>
          </w:tcPr>
          <w:p w14:paraId="63AADF44" w14:textId="0069B257" w:rsidR="008D3ECC" w:rsidRDefault="099CDD95" w:rsidP="00F255F4">
            <w:r>
              <w:t>25</w:t>
            </w:r>
          </w:p>
        </w:tc>
        <w:tc>
          <w:tcPr>
            <w:tcW w:w="3415" w:type="dxa"/>
          </w:tcPr>
          <w:p w14:paraId="2D440CDF" w14:textId="22C4DC21" w:rsidR="008D3ECC" w:rsidRDefault="099CDD95" w:rsidP="00F255F4">
            <w:pPr>
              <w:spacing w:after="120"/>
            </w:pPr>
            <w:r>
              <w:t>Quarterly; 15</w:t>
            </w:r>
            <w:r w:rsidRPr="099CDD95">
              <w:rPr>
                <w:vertAlign w:val="superscript"/>
              </w:rPr>
              <w:t>th</w:t>
            </w:r>
            <w:r>
              <w:t xml:space="preserve"> of the month following the reporting quarter</w:t>
            </w:r>
          </w:p>
        </w:tc>
      </w:tr>
      <w:tr w:rsidR="008D3ECC" w14:paraId="7CAD9F02" w14:textId="77777777" w:rsidTr="1DC5033B">
        <w:tc>
          <w:tcPr>
            <w:tcW w:w="3595" w:type="dxa"/>
          </w:tcPr>
          <w:p w14:paraId="2B23F802" w14:textId="3764137A" w:rsidR="008D3ECC" w:rsidRDefault="099CDD95" w:rsidP="00F255F4">
            <w:r>
              <w:t>Accreditation report</w:t>
            </w:r>
          </w:p>
        </w:tc>
        <w:tc>
          <w:tcPr>
            <w:tcW w:w="2340" w:type="dxa"/>
          </w:tcPr>
          <w:p w14:paraId="1DEE2E9C" w14:textId="0F469B16" w:rsidR="008D3ECC" w:rsidRDefault="099CDD95" w:rsidP="00F255F4">
            <w:r>
              <w:t>26</w:t>
            </w:r>
            <w:r w:rsidR="7B6BD37D">
              <w:t>.</w:t>
            </w:r>
            <w:r>
              <w:t>1</w:t>
            </w:r>
          </w:p>
        </w:tc>
        <w:tc>
          <w:tcPr>
            <w:tcW w:w="3415" w:type="dxa"/>
          </w:tcPr>
          <w:p w14:paraId="43BF092D" w14:textId="77777777" w:rsidR="008D3ECC" w:rsidRDefault="099CDD95" w:rsidP="00F255F4">
            <w:pPr>
              <w:spacing w:after="120"/>
            </w:pPr>
            <w:r>
              <w:t>Date established in approved implementation plan</w:t>
            </w:r>
          </w:p>
          <w:p w14:paraId="557ECDE5" w14:textId="36F15657" w:rsidR="001C48AB" w:rsidRDefault="099CDD95" w:rsidP="00F255F4">
            <w:pPr>
              <w:spacing w:after="120"/>
            </w:pPr>
            <w:r>
              <w:t>Annually; December 15</w:t>
            </w:r>
          </w:p>
        </w:tc>
      </w:tr>
      <w:tr w:rsidR="008D3ECC" w14:paraId="20EE64CD" w14:textId="77777777" w:rsidTr="1DC5033B">
        <w:tc>
          <w:tcPr>
            <w:tcW w:w="3595" w:type="dxa"/>
          </w:tcPr>
          <w:p w14:paraId="73324927" w14:textId="6441D6B7" w:rsidR="008D3ECC" w:rsidRDefault="099CDD95" w:rsidP="00F255F4">
            <w:r>
              <w:t>Quality Improvement Plan</w:t>
            </w:r>
          </w:p>
        </w:tc>
        <w:tc>
          <w:tcPr>
            <w:tcW w:w="2340" w:type="dxa"/>
          </w:tcPr>
          <w:p w14:paraId="6B2D55A6" w14:textId="22B859C9" w:rsidR="008D3ECC" w:rsidRDefault="099CDD95" w:rsidP="00F255F4">
            <w:r>
              <w:t>26</w:t>
            </w:r>
            <w:r w:rsidR="06CF6C8B">
              <w:t>.</w:t>
            </w:r>
            <w:r>
              <w:t>2</w:t>
            </w:r>
          </w:p>
        </w:tc>
        <w:tc>
          <w:tcPr>
            <w:tcW w:w="3415" w:type="dxa"/>
          </w:tcPr>
          <w:p w14:paraId="3B77223B" w14:textId="77777777" w:rsidR="00FB0C4B" w:rsidRDefault="099CDD95" w:rsidP="00FB0C4B">
            <w:pPr>
              <w:spacing w:after="120"/>
            </w:pPr>
            <w:r>
              <w:t>Date established in approved implementation plan</w:t>
            </w:r>
          </w:p>
          <w:p w14:paraId="453BC481" w14:textId="14CEBFEA" w:rsidR="008D3ECC" w:rsidRDefault="099CDD95" w:rsidP="00FB0C4B">
            <w:pPr>
              <w:spacing w:after="120"/>
            </w:pPr>
            <w:r>
              <w:t>Annually; July 1</w:t>
            </w:r>
          </w:p>
        </w:tc>
      </w:tr>
      <w:tr w:rsidR="008D3ECC" w14:paraId="26D7FE0D" w14:textId="77777777" w:rsidTr="1DC5033B">
        <w:tc>
          <w:tcPr>
            <w:tcW w:w="3595" w:type="dxa"/>
          </w:tcPr>
          <w:p w14:paraId="56621CDF" w14:textId="430F101D" w:rsidR="008D3ECC" w:rsidRDefault="099CDD95" w:rsidP="00F255F4">
            <w:r>
              <w:t>Quality Improvement Plan Assessment</w:t>
            </w:r>
          </w:p>
        </w:tc>
        <w:tc>
          <w:tcPr>
            <w:tcW w:w="2340" w:type="dxa"/>
          </w:tcPr>
          <w:p w14:paraId="0CFA8409" w14:textId="15592FBE" w:rsidR="008D3ECC" w:rsidRDefault="099CDD95" w:rsidP="00F255F4">
            <w:r>
              <w:t>26</w:t>
            </w:r>
            <w:r w:rsidR="2524C083">
              <w:t>.</w:t>
            </w:r>
            <w:r>
              <w:t>2</w:t>
            </w:r>
          </w:p>
        </w:tc>
        <w:tc>
          <w:tcPr>
            <w:tcW w:w="3415" w:type="dxa"/>
          </w:tcPr>
          <w:p w14:paraId="01A80BC4" w14:textId="4BF0BF64" w:rsidR="008D3ECC" w:rsidRDefault="099CDD95" w:rsidP="00F255F4">
            <w:pPr>
              <w:spacing w:after="120"/>
            </w:pPr>
            <w:r>
              <w:t>Annually; July 1, beginning Jul 1, 2021</w:t>
            </w:r>
          </w:p>
        </w:tc>
      </w:tr>
      <w:tr w:rsidR="00544F17" w14:paraId="3421F3AE" w14:textId="77777777" w:rsidTr="1DC5033B">
        <w:tc>
          <w:tcPr>
            <w:tcW w:w="3595" w:type="dxa"/>
          </w:tcPr>
          <w:p w14:paraId="11C1C4DE" w14:textId="320361BD" w:rsidR="00544F17" w:rsidRDefault="099CDD95" w:rsidP="00F255F4">
            <w:r>
              <w:t>Encounter and claims data</w:t>
            </w:r>
          </w:p>
        </w:tc>
        <w:tc>
          <w:tcPr>
            <w:tcW w:w="2340" w:type="dxa"/>
          </w:tcPr>
          <w:p w14:paraId="51AA3F88" w14:textId="19893696" w:rsidR="00544F17" w:rsidRDefault="00AA45BD" w:rsidP="00F255F4">
            <w:r>
              <w:t>33</w:t>
            </w:r>
          </w:p>
        </w:tc>
        <w:tc>
          <w:tcPr>
            <w:tcW w:w="3415" w:type="dxa"/>
          </w:tcPr>
          <w:p w14:paraId="0B5417CE" w14:textId="3FFFD290" w:rsidR="00544F17" w:rsidRDefault="099CDD95" w:rsidP="00F255F4">
            <w:pPr>
              <w:spacing w:after="120"/>
            </w:pPr>
            <w:r>
              <w:t xml:space="preserve">Quarterly; see section </w:t>
            </w:r>
            <w:r w:rsidR="00AA45BD">
              <w:t>33</w:t>
            </w:r>
            <w:r>
              <w:t xml:space="preserve"> for specific dates</w:t>
            </w:r>
          </w:p>
        </w:tc>
      </w:tr>
      <w:tr w:rsidR="00544F17" w14:paraId="7D7AE18D" w14:textId="77777777" w:rsidTr="1DC5033B">
        <w:tc>
          <w:tcPr>
            <w:tcW w:w="3595" w:type="dxa"/>
          </w:tcPr>
          <w:p w14:paraId="517D8343" w14:textId="4F508D5A" w:rsidR="00544F17" w:rsidRDefault="005836B0" w:rsidP="00F255F4">
            <w:r>
              <w:t>Attestation organizational chart</w:t>
            </w:r>
          </w:p>
        </w:tc>
        <w:tc>
          <w:tcPr>
            <w:tcW w:w="2340" w:type="dxa"/>
          </w:tcPr>
          <w:p w14:paraId="57217B7A" w14:textId="543DAF62" w:rsidR="00544F17" w:rsidRDefault="00AA45BD" w:rsidP="00F255F4">
            <w:r>
              <w:t>34</w:t>
            </w:r>
          </w:p>
        </w:tc>
        <w:tc>
          <w:tcPr>
            <w:tcW w:w="3415" w:type="dxa"/>
          </w:tcPr>
          <w:p w14:paraId="3A8AE4DE" w14:textId="585E3E9F" w:rsidR="00544F17" w:rsidRDefault="005836B0" w:rsidP="00F255F4">
            <w:pPr>
              <w:spacing w:after="120"/>
            </w:pPr>
            <w:r>
              <w:t>Upon Contract execution; within 1 week of any changes</w:t>
            </w:r>
          </w:p>
        </w:tc>
      </w:tr>
      <w:tr w:rsidR="00E3726B" w14:paraId="6933A816" w14:textId="77777777" w:rsidTr="1DC5033B">
        <w:tc>
          <w:tcPr>
            <w:tcW w:w="3595" w:type="dxa"/>
          </w:tcPr>
          <w:p w14:paraId="31B14AE5" w14:textId="7FCDFEDA" w:rsidR="00E3726B" w:rsidRDefault="005836B0" w:rsidP="00F255F4">
            <w:r>
              <w:t>Encounter data attestation</w:t>
            </w:r>
          </w:p>
        </w:tc>
        <w:tc>
          <w:tcPr>
            <w:tcW w:w="2340" w:type="dxa"/>
          </w:tcPr>
          <w:p w14:paraId="79930BC1" w14:textId="5D7E30F8" w:rsidR="00E3726B" w:rsidRDefault="00AA45BD" w:rsidP="00F255F4">
            <w:r>
              <w:t>34</w:t>
            </w:r>
          </w:p>
        </w:tc>
        <w:tc>
          <w:tcPr>
            <w:tcW w:w="3415" w:type="dxa"/>
          </w:tcPr>
          <w:p w14:paraId="1936DFC8" w14:textId="7EE6898A" w:rsidR="00E3726B" w:rsidRDefault="005836B0" w:rsidP="00F255F4">
            <w:pPr>
              <w:spacing w:after="120"/>
            </w:pPr>
            <w:r>
              <w:t>Concurrent with submission of encounter data</w:t>
            </w:r>
          </w:p>
        </w:tc>
      </w:tr>
      <w:tr w:rsidR="00E3726B" w14:paraId="2D236902" w14:textId="77777777" w:rsidTr="1DC5033B">
        <w:tc>
          <w:tcPr>
            <w:tcW w:w="3595" w:type="dxa"/>
          </w:tcPr>
          <w:p w14:paraId="6727B965" w14:textId="1DC8B0F1" w:rsidR="00E3726B" w:rsidRDefault="005836B0" w:rsidP="00F255F4">
            <w:r>
              <w:t>MLR-related attestation</w:t>
            </w:r>
          </w:p>
        </w:tc>
        <w:tc>
          <w:tcPr>
            <w:tcW w:w="2340" w:type="dxa"/>
          </w:tcPr>
          <w:p w14:paraId="7A004CCD" w14:textId="4D298949" w:rsidR="00E3726B" w:rsidRDefault="00AA45BD" w:rsidP="00F255F4">
            <w:r>
              <w:t>34</w:t>
            </w:r>
          </w:p>
        </w:tc>
        <w:tc>
          <w:tcPr>
            <w:tcW w:w="3415" w:type="dxa"/>
          </w:tcPr>
          <w:p w14:paraId="788F5100" w14:textId="01520A96" w:rsidR="00E3726B" w:rsidRDefault="005836B0" w:rsidP="00F255F4">
            <w:pPr>
              <w:spacing w:after="120"/>
            </w:pPr>
            <w:r>
              <w:t>Concurrent with submission of</w:t>
            </w:r>
            <w:r>
              <w:rPr>
                <w:rFonts w:eastAsiaTheme="minorEastAsia"/>
              </w:rPr>
              <w:t xml:space="preserve"> documentation FHKC may use to determine Insurer’s compliance with MLR requirements</w:t>
            </w:r>
          </w:p>
        </w:tc>
      </w:tr>
      <w:tr w:rsidR="00E3726B" w14:paraId="014F3A0F" w14:textId="77777777" w:rsidTr="1DC5033B">
        <w:tc>
          <w:tcPr>
            <w:tcW w:w="3595" w:type="dxa"/>
          </w:tcPr>
          <w:p w14:paraId="5278407B" w14:textId="6742A7A9" w:rsidR="00E3726B" w:rsidRDefault="005836B0" w:rsidP="00F255F4">
            <w:r>
              <w:t>Financial solvency-related attestation</w:t>
            </w:r>
          </w:p>
        </w:tc>
        <w:tc>
          <w:tcPr>
            <w:tcW w:w="2340" w:type="dxa"/>
          </w:tcPr>
          <w:p w14:paraId="6A4E872C" w14:textId="4D84A4A3" w:rsidR="00E3726B" w:rsidRDefault="00AA45BD" w:rsidP="00F255F4">
            <w:r>
              <w:t>34</w:t>
            </w:r>
          </w:p>
        </w:tc>
        <w:tc>
          <w:tcPr>
            <w:tcW w:w="3415" w:type="dxa"/>
          </w:tcPr>
          <w:p w14:paraId="61A490AD" w14:textId="38F6E3AB" w:rsidR="00E3726B" w:rsidRDefault="005836B0" w:rsidP="00F255F4">
            <w:pPr>
              <w:spacing w:after="120"/>
            </w:pPr>
            <w:r>
              <w:t>Concurrent with submission of</w:t>
            </w:r>
            <w:r>
              <w:rPr>
                <w:rFonts w:eastAsiaTheme="minorEastAsia"/>
              </w:rPr>
              <w:t xml:space="preserve"> documentation FHKC may use to determine Insurer has made adequate provision against the risk of insolvency</w:t>
            </w:r>
          </w:p>
        </w:tc>
      </w:tr>
      <w:tr w:rsidR="00E3726B" w14:paraId="7903C987" w14:textId="77777777" w:rsidTr="1DC5033B">
        <w:tc>
          <w:tcPr>
            <w:tcW w:w="3595" w:type="dxa"/>
          </w:tcPr>
          <w:p w14:paraId="0AE30727" w14:textId="2C415A03" w:rsidR="00E3726B" w:rsidRDefault="005836B0" w:rsidP="00F255F4">
            <w:r>
              <w:t>Availability and accessibility of services attestation</w:t>
            </w:r>
          </w:p>
        </w:tc>
        <w:tc>
          <w:tcPr>
            <w:tcW w:w="2340" w:type="dxa"/>
          </w:tcPr>
          <w:p w14:paraId="42960CFA" w14:textId="74ACE95D" w:rsidR="00E3726B" w:rsidRDefault="00AA45BD" w:rsidP="00F255F4">
            <w:r>
              <w:t>34</w:t>
            </w:r>
          </w:p>
        </w:tc>
        <w:tc>
          <w:tcPr>
            <w:tcW w:w="3415" w:type="dxa"/>
          </w:tcPr>
          <w:p w14:paraId="117CBA4D" w14:textId="7EE06269" w:rsidR="00E3726B" w:rsidRDefault="005836B0" w:rsidP="00F255F4">
            <w:pPr>
              <w:spacing w:after="120"/>
            </w:pPr>
            <w:r>
              <w:t>Concurrent with submission of</w:t>
            </w:r>
            <w:r>
              <w:rPr>
                <w:rFonts w:eastAsiaTheme="minorEastAsia"/>
              </w:rPr>
              <w:t xml:space="preserve"> documentation related to Insurer’s compliance with requirements for availability and accessibility of services, including Provider network adequacy</w:t>
            </w:r>
          </w:p>
        </w:tc>
      </w:tr>
      <w:tr w:rsidR="005836B0" w14:paraId="216ECE4C" w14:textId="77777777" w:rsidTr="1DC5033B">
        <w:tc>
          <w:tcPr>
            <w:tcW w:w="3595" w:type="dxa"/>
          </w:tcPr>
          <w:p w14:paraId="709DC88D" w14:textId="70CBB412" w:rsidR="005836B0" w:rsidRDefault="005836B0" w:rsidP="00F255F4">
            <w:r>
              <w:t>Ownership and control disclosures attestation</w:t>
            </w:r>
          </w:p>
        </w:tc>
        <w:tc>
          <w:tcPr>
            <w:tcW w:w="2340" w:type="dxa"/>
          </w:tcPr>
          <w:p w14:paraId="7023C41A" w14:textId="2881810F" w:rsidR="005836B0" w:rsidRDefault="00AA45BD" w:rsidP="00F255F4">
            <w:r>
              <w:t>34</w:t>
            </w:r>
          </w:p>
        </w:tc>
        <w:tc>
          <w:tcPr>
            <w:tcW w:w="3415" w:type="dxa"/>
          </w:tcPr>
          <w:p w14:paraId="27271574" w14:textId="26ED3552" w:rsidR="005836B0" w:rsidRDefault="005836B0" w:rsidP="00F255F4">
            <w:pPr>
              <w:spacing w:after="120"/>
            </w:pPr>
            <w:r>
              <w:t>Concurrent with submission of documentation</w:t>
            </w:r>
          </w:p>
        </w:tc>
      </w:tr>
      <w:tr w:rsidR="005836B0" w14:paraId="74FFC7F5" w14:textId="77777777" w:rsidTr="1DC5033B">
        <w:tc>
          <w:tcPr>
            <w:tcW w:w="3595" w:type="dxa"/>
          </w:tcPr>
          <w:p w14:paraId="187AD04C" w14:textId="06D50F87" w:rsidR="005836B0" w:rsidRDefault="005836B0" w:rsidP="00F255F4">
            <w:r>
              <w:t>Annual overpayment recoveries report attestation</w:t>
            </w:r>
          </w:p>
        </w:tc>
        <w:tc>
          <w:tcPr>
            <w:tcW w:w="2340" w:type="dxa"/>
          </w:tcPr>
          <w:p w14:paraId="3A95A3CA" w14:textId="0B40E210" w:rsidR="005836B0" w:rsidRDefault="00AA45BD" w:rsidP="00F255F4">
            <w:r>
              <w:t>34</w:t>
            </w:r>
          </w:p>
        </w:tc>
        <w:tc>
          <w:tcPr>
            <w:tcW w:w="3415" w:type="dxa"/>
          </w:tcPr>
          <w:p w14:paraId="19B94E5B" w14:textId="101D64EB" w:rsidR="005836B0" w:rsidRDefault="005836B0" w:rsidP="00F255F4">
            <w:pPr>
              <w:spacing w:after="120"/>
            </w:pPr>
            <w:r>
              <w:t>Concurrent with submission of annual overpayment recoveries report</w:t>
            </w:r>
          </w:p>
        </w:tc>
      </w:tr>
    </w:tbl>
    <w:p w14:paraId="094422A8" w14:textId="77777777" w:rsidR="0096615F" w:rsidRPr="00407213" w:rsidRDefault="0096615F" w:rsidP="00407213"/>
    <w:sectPr w:rsidR="0096615F" w:rsidRPr="00407213">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F653F9" w14:textId="77777777" w:rsidR="007B3AB6" w:rsidRDefault="007B3AB6" w:rsidP="006D267E">
      <w:pPr>
        <w:spacing w:after="0" w:line="240" w:lineRule="auto"/>
      </w:pPr>
      <w:r>
        <w:separator/>
      </w:r>
    </w:p>
  </w:endnote>
  <w:endnote w:type="continuationSeparator" w:id="0">
    <w:p w14:paraId="498FAC92" w14:textId="77777777" w:rsidR="007B3AB6" w:rsidRDefault="007B3AB6" w:rsidP="006D267E">
      <w:pPr>
        <w:spacing w:after="0" w:line="240" w:lineRule="auto"/>
      </w:pPr>
      <w:r>
        <w:continuationSeparator/>
      </w:r>
    </w:p>
  </w:endnote>
  <w:endnote w:type="continuationNotice" w:id="1">
    <w:p w14:paraId="243426FD" w14:textId="77777777" w:rsidR="00A2730D" w:rsidRDefault="00A2730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roma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4C7380" w14:textId="4BFFB011" w:rsidR="006D267E" w:rsidRDefault="29813DB7" w:rsidP="29813DB7">
    <w:pPr>
      <w:pStyle w:val="Footer"/>
      <w:rPr>
        <w:noProof/>
      </w:rPr>
    </w:pPr>
    <w:r w:rsidRPr="29813DB7">
      <w:rPr>
        <w:rFonts w:ascii="Calibri" w:eastAsia="Calibri" w:hAnsi="Calibri" w:cs="Calibri"/>
        <w:szCs w:val="24"/>
      </w:rPr>
      <w:t>Contract No.: 2020-300-00Dental Services and Coverage</w:t>
    </w:r>
    <w:r>
      <w:t xml:space="preserve"> </w:t>
    </w:r>
  </w:p>
  <w:p w14:paraId="0E3C5AE1" w14:textId="38D06759" w:rsidR="006D267E" w:rsidRDefault="29813DB7" w:rsidP="29813DB7">
    <w:pPr>
      <w:pStyle w:val="Footer"/>
      <w:rPr>
        <w:noProof/>
      </w:rPr>
    </w:pPr>
    <w:r>
      <w:t>Attachment D: Reports and Deliverables</w:t>
    </w:r>
  </w:p>
  <w:p w14:paraId="3C772083" w14:textId="29D68BC5" w:rsidR="006D267E" w:rsidRDefault="29813DB7">
    <w:pPr>
      <w:pStyle w:val="Footer"/>
    </w:pPr>
    <w:r w:rsidRPr="29813DB7">
      <w:rPr>
        <w:rFonts w:ascii="Calibri" w:eastAsia="Calibri" w:hAnsi="Calibri" w:cs="Calibri"/>
        <w:szCs w:val="24"/>
      </w:rPr>
      <w:t xml:space="preserve">  </w:t>
    </w:r>
    <w:r w:rsidR="006D267E">
      <w:ptab w:relativeTo="margin" w:alignment="center" w:leader="none"/>
    </w:r>
    <w:r w:rsidR="006D267E">
      <w:ptab w:relativeTo="margin" w:alignment="right" w:leader="none"/>
    </w:r>
    <w:r w:rsidR="006D267E">
      <w:rPr>
        <w:noProof/>
      </w:rPr>
      <w:fldChar w:fldCharType="begin"/>
    </w:r>
    <w:r w:rsidR="006D267E">
      <w:instrText xml:space="preserve"> PAGE   \* MERGEFORMAT </w:instrText>
    </w:r>
    <w:r w:rsidR="006D267E">
      <w:fldChar w:fldCharType="separate"/>
    </w:r>
    <w:r>
      <w:rPr>
        <w:noProof/>
      </w:rPr>
      <w:t>5</w:t>
    </w:r>
    <w:r w:rsidR="006D267E">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84A1C00" w14:textId="77777777" w:rsidR="007B3AB6" w:rsidRDefault="007B3AB6" w:rsidP="006D267E">
      <w:pPr>
        <w:spacing w:after="0" w:line="240" w:lineRule="auto"/>
      </w:pPr>
      <w:r>
        <w:separator/>
      </w:r>
    </w:p>
  </w:footnote>
  <w:footnote w:type="continuationSeparator" w:id="0">
    <w:p w14:paraId="6CFF2A71" w14:textId="77777777" w:rsidR="007B3AB6" w:rsidRDefault="007B3AB6" w:rsidP="006D267E">
      <w:pPr>
        <w:spacing w:after="0" w:line="240" w:lineRule="auto"/>
      </w:pPr>
      <w:r>
        <w:continuationSeparator/>
      </w:r>
    </w:p>
  </w:footnote>
  <w:footnote w:type="continuationNotice" w:id="1">
    <w:p w14:paraId="5A25F735" w14:textId="77777777" w:rsidR="00A2730D" w:rsidRDefault="00A2730D">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W w:w="0" w:type="auto"/>
      <w:tblLayout w:type="fixed"/>
      <w:tblLook w:val="04A0" w:firstRow="1" w:lastRow="0" w:firstColumn="1" w:lastColumn="0" w:noHBand="0" w:noVBand="1"/>
    </w:tblPr>
    <w:tblGrid>
      <w:gridCol w:w="3120"/>
      <w:gridCol w:w="3120"/>
      <w:gridCol w:w="3120"/>
    </w:tblGrid>
    <w:tr w:rsidR="099CDD95" w14:paraId="4590CC76" w14:textId="77777777" w:rsidTr="099CDD95">
      <w:tc>
        <w:tcPr>
          <w:tcW w:w="3120" w:type="dxa"/>
        </w:tcPr>
        <w:p w14:paraId="2ED79DA2" w14:textId="26F76D10" w:rsidR="099CDD95" w:rsidRDefault="099CDD95" w:rsidP="099CDD95">
          <w:pPr>
            <w:pStyle w:val="Header"/>
            <w:ind w:left="-115"/>
          </w:pPr>
        </w:p>
      </w:tc>
      <w:tc>
        <w:tcPr>
          <w:tcW w:w="3120" w:type="dxa"/>
        </w:tcPr>
        <w:p w14:paraId="10A20203" w14:textId="7DA72C11" w:rsidR="099CDD95" w:rsidRDefault="099CDD95" w:rsidP="099CDD95">
          <w:pPr>
            <w:pStyle w:val="Header"/>
            <w:jc w:val="center"/>
          </w:pPr>
        </w:p>
      </w:tc>
      <w:tc>
        <w:tcPr>
          <w:tcW w:w="3120" w:type="dxa"/>
        </w:tcPr>
        <w:p w14:paraId="06952FE9" w14:textId="68649AEA" w:rsidR="099CDD95" w:rsidRDefault="099CDD95" w:rsidP="099CDD95">
          <w:pPr>
            <w:pStyle w:val="Header"/>
            <w:ind w:right="-115"/>
            <w:jc w:val="right"/>
          </w:pPr>
        </w:p>
      </w:tc>
    </w:tr>
  </w:tbl>
  <w:p w14:paraId="79580447" w14:textId="03E2816C" w:rsidR="099CDD95" w:rsidRDefault="099CDD95" w:rsidP="099CDD9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13"/>
    <w:rsid w:val="0004676F"/>
    <w:rsid w:val="00060D5E"/>
    <w:rsid w:val="00070F48"/>
    <w:rsid w:val="000717F1"/>
    <w:rsid w:val="000751F5"/>
    <w:rsid w:val="000D02A0"/>
    <w:rsid w:val="000F2D99"/>
    <w:rsid w:val="0014391F"/>
    <w:rsid w:val="001472B6"/>
    <w:rsid w:val="00151465"/>
    <w:rsid w:val="00156937"/>
    <w:rsid w:val="0016488A"/>
    <w:rsid w:val="001B15E9"/>
    <w:rsid w:val="001B3243"/>
    <w:rsid w:val="001C48AB"/>
    <w:rsid w:val="001D4B38"/>
    <w:rsid w:val="00212D8F"/>
    <w:rsid w:val="002528AE"/>
    <w:rsid w:val="00255935"/>
    <w:rsid w:val="00267113"/>
    <w:rsid w:val="00271B8E"/>
    <w:rsid w:val="002C029F"/>
    <w:rsid w:val="002C21B2"/>
    <w:rsid w:val="002D211E"/>
    <w:rsid w:val="002D6616"/>
    <w:rsid w:val="00344C59"/>
    <w:rsid w:val="003533CF"/>
    <w:rsid w:val="00361F4A"/>
    <w:rsid w:val="00371198"/>
    <w:rsid w:val="00382325"/>
    <w:rsid w:val="00394A2F"/>
    <w:rsid w:val="003A6827"/>
    <w:rsid w:val="003B636F"/>
    <w:rsid w:val="003C1E07"/>
    <w:rsid w:val="003D726C"/>
    <w:rsid w:val="00407213"/>
    <w:rsid w:val="00407782"/>
    <w:rsid w:val="00414A6F"/>
    <w:rsid w:val="00425510"/>
    <w:rsid w:val="00477787"/>
    <w:rsid w:val="00491449"/>
    <w:rsid w:val="00495C24"/>
    <w:rsid w:val="004A159F"/>
    <w:rsid w:val="004D47AA"/>
    <w:rsid w:val="0050214A"/>
    <w:rsid w:val="00544F17"/>
    <w:rsid w:val="005600CD"/>
    <w:rsid w:val="00572D9F"/>
    <w:rsid w:val="005836B0"/>
    <w:rsid w:val="00586DDE"/>
    <w:rsid w:val="005A1A63"/>
    <w:rsid w:val="005C5A26"/>
    <w:rsid w:val="005D509A"/>
    <w:rsid w:val="005E1A61"/>
    <w:rsid w:val="005F3598"/>
    <w:rsid w:val="00613319"/>
    <w:rsid w:val="006B09DE"/>
    <w:rsid w:val="006B14E6"/>
    <w:rsid w:val="006D267E"/>
    <w:rsid w:val="00734112"/>
    <w:rsid w:val="00743FF0"/>
    <w:rsid w:val="0076114F"/>
    <w:rsid w:val="00761D75"/>
    <w:rsid w:val="00764E98"/>
    <w:rsid w:val="0078407A"/>
    <w:rsid w:val="007975D4"/>
    <w:rsid w:val="007A0F90"/>
    <w:rsid w:val="007B3AB6"/>
    <w:rsid w:val="007D6F51"/>
    <w:rsid w:val="007F4885"/>
    <w:rsid w:val="008241C6"/>
    <w:rsid w:val="00836E53"/>
    <w:rsid w:val="0084018A"/>
    <w:rsid w:val="00845C6A"/>
    <w:rsid w:val="008B6166"/>
    <w:rsid w:val="008D3ECC"/>
    <w:rsid w:val="009067D7"/>
    <w:rsid w:val="00910211"/>
    <w:rsid w:val="00912803"/>
    <w:rsid w:val="0096615F"/>
    <w:rsid w:val="009A6044"/>
    <w:rsid w:val="009D77CF"/>
    <w:rsid w:val="009F7C2F"/>
    <w:rsid w:val="00A14A77"/>
    <w:rsid w:val="00A17DC6"/>
    <w:rsid w:val="00A1EA5A"/>
    <w:rsid w:val="00A24EDC"/>
    <w:rsid w:val="00A2730D"/>
    <w:rsid w:val="00A320B0"/>
    <w:rsid w:val="00A633F4"/>
    <w:rsid w:val="00A80B67"/>
    <w:rsid w:val="00A84ECE"/>
    <w:rsid w:val="00A93017"/>
    <w:rsid w:val="00A96DF9"/>
    <w:rsid w:val="00AA45BD"/>
    <w:rsid w:val="00AD3B88"/>
    <w:rsid w:val="00B10179"/>
    <w:rsid w:val="00B2392E"/>
    <w:rsid w:val="00B80FA0"/>
    <w:rsid w:val="00B94749"/>
    <w:rsid w:val="00BB3A4C"/>
    <w:rsid w:val="00BB3D60"/>
    <w:rsid w:val="00BD6CA2"/>
    <w:rsid w:val="00C36893"/>
    <w:rsid w:val="00C443E4"/>
    <w:rsid w:val="00C94D0B"/>
    <w:rsid w:val="00CA7A60"/>
    <w:rsid w:val="00CC14AF"/>
    <w:rsid w:val="00CC1F23"/>
    <w:rsid w:val="00D1186F"/>
    <w:rsid w:val="00D12A36"/>
    <w:rsid w:val="00D21444"/>
    <w:rsid w:val="00D75FD4"/>
    <w:rsid w:val="00D8266B"/>
    <w:rsid w:val="00DA558D"/>
    <w:rsid w:val="00DA6D80"/>
    <w:rsid w:val="00DC1204"/>
    <w:rsid w:val="00DD44C2"/>
    <w:rsid w:val="00DF1D5A"/>
    <w:rsid w:val="00E3489C"/>
    <w:rsid w:val="00E3726B"/>
    <w:rsid w:val="00E42D62"/>
    <w:rsid w:val="00E602E1"/>
    <w:rsid w:val="00E652BB"/>
    <w:rsid w:val="00E90937"/>
    <w:rsid w:val="00EB578B"/>
    <w:rsid w:val="00EC42A9"/>
    <w:rsid w:val="00F0533D"/>
    <w:rsid w:val="00F252F8"/>
    <w:rsid w:val="00F255F4"/>
    <w:rsid w:val="00F401FF"/>
    <w:rsid w:val="00F74C71"/>
    <w:rsid w:val="00FB0C4B"/>
    <w:rsid w:val="00FB7ED1"/>
    <w:rsid w:val="00FC0A67"/>
    <w:rsid w:val="00FD58C4"/>
    <w:rsid w:val="01B2254C"/>
    <w:rsid w:val="02992A37"/>
    <w:rsid w:val="053A98E5"/>
    <w:rsid w:val="05E059A8"/>
    <w:rsid w:val="06CF6C8B"/>
    <w:rsid w:val="0910C730"/>
    <w:rsid w:val="099CDD95"/>
    <w:rsid w:val="0B585310"/>
    <w:rsid w:val="0EB2E0D0"/>
    <w:rsid w:val="0FA0CAEB"/>
    <w:rsid w:val="120EE4C5"/>
    <w:rsid w:val="13B5E885"/>
    <w:rsid w:val="14C23AC4"/>
    <w:rsid w:val="1664233E"/>
    <w:rsid w:val="17923AC7"/>
    <w:rsid w:val="1824842F"/>
    <w:rsid w:val="19AFF18F"/>
    <w:rsid w:val="1B71569C"/>
    <w:rsid w:val="1C539344"/>
    <w:rsid w:val="1DC5033B"/>
    <w:rsid w:val="203A3E18"/>
    <w:rsid w:val="20AB1D00"/>
    <w:rsid w:val="22AFB689"/>
    <w:rsid w:val="2311F8CD"/>
    <w:rsid w:val="242CD154"/>
    <w:rsid w:val="24B3AA69"/>
    <w:rsid w:val="2524C083"/>
    <w:rsid w:val="261EA97B"/>
    <w:rsid w:val="29813DB7"/>
    <w:rsid w:val="2AC603E0"/>
    <w:rsid w:val="33191E96"/>
    <w:rsid w:val="35C3CC6F"/>
    <w:rsid w:val="3BA1DEE7"/>
    <w:rsid w:val="3F316C66"/>
    <w:rsid w:val="43460A68"/>
    <w:rsid w:val="45B05059"/>
    <w:rsid w:val="463A212C"/>
    <w:rsid w:val="477D0440"/>
    <w:rsid w:val="4CC1ABCE"/>
    <w:rsid w:val="52E9F2B3"/>
    <w:rsid w:val="533FD9CB"/>
    <w:rsid w:val="543F62BF"/>
    <w:rsid w:val="587692D5"/>
    <w:rsid w:val="5AE373B9"/>
    <w:rsid w:val="5BA3A6DD"/>
    <w:rsid w:val="5F09726E"/>
    <w:rsid w:val="5FD17F9E"/>
    <w:rsid w:val="6098C82D"/>
    <w:rsid w:val="61986DEA"/>
    <w:rsid w:val="61CAE89A"/>
    <w:rsid w:val="65810B31"/>
    <w:rsid w:val="65CC407D"/>
    <w:rsid w:val="712AD237"/>
    <w:rsid w:val="7281DEDE"/>
    <w:rsid w:val="72935D66"/>
    <w:rsid w:val="72956029"/>
    <w:rsid w:val="75B3355E"/>
    <w:rsid w:val="79795299"/>
    <w:rsid w:val="7B6BD37D"/>
    <w:rsid w:val="7D152173"/>
    <w:rsid w:val="7FF49063"/>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78594DD5"/>
  <w15:chartTrackingRefBased/>
  <w15:docId w15:val="{13513BC1-549C-4441-93B8-D244365F9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7213"/>
    <w:rPr>
      <w:sz w:val="24"/>
    </w:rPr>
  </w:style>
  <w:style w:type="paragraph" w:styleId="Heading1">
    <w:name w:val="heading 1"/>
    <w:basedOn w:val="Normal"/>
    <w:next w:val="Normal"/>
    <w:link w:val="Heading1Char"/>
    <w:uiPriority w:val="9"/>
    <w:qFormat/>
    <w:rsid w:val="00407213"/>
    <w:pPr>
      <w:keepNext/>
      <w:keepLines/>
      <w:outlineLvl w:val="0"/>
    </w:pPr>
    <w:rPr>
      <w:rFonts w:ascii="Calibri" w:eastAsiaTheme="majorEastAsia" w:hAnsi="Calibri" w:cstheme="majorBidi"/>
      <w:b/>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40721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407213"/>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407213"/>
    <w:rPr>
      <w:rFonts w:ascii="Calibri" w:eastAsiaTheme="majorEastAsia" w:hAnsi="Calibri" w:cstheme="majorBidi"/>
      <w:b/>
      <w:sz w:val="32"/>
      <w:szCs w:val="32"/>
    </w:rPr>
  </w:style>
  <w:style w:type="paragraph" w:styleId="Header">
    <w:name w:val="header"/>
    <w:basedOn w:val="Normal"/>
    <w:link w:val="HeaderChar"/>
    <w:uiPriority w:val="99"/>
    <w:unhideWhenUsed/>
    <w:rsid w:val="006D267E"/>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267E"/>
    <w:rPr>
      <w:sz w:val="24"/>
    </w:rPr>
  </w:style>
  <w:style w:type="paragraph" w:styleId="Footer">
    <w:name w:val="footer"/>
    <w:basedOn w:val="Normal"/>
    <w:link w:val="FooterChar"/>
    <w:uiPriority w:val="99"/>
    <w:unhideWhenUsed/>
    <w:rsid w:val="006D267E"/>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267E"/>
    <w:rPr>
      <w:sz w:val="24"/>
    </w:rPr>
  </w:style>
  <w:style w:type="table" w:styleId="TableGrid">
    <w:name w:val="Table Grid"/>
    <w:basedOn w:val="TableNormal"/>
    <w:uiPriority w:val="39"/>
    <w:rsid w:val="009661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B6166"/>
    <w:rPr>
      <w:sz w:val="16"/>
      <w:szCs w:val="16"/>
    </w:rPr>
  </w:style>
  <w:style w:type="paragraph" w:styleId="CommentText">
    <w:name w:val="annotation text"/>
    <w:basedOn w:val="Normal"/>
    <w:link w:val="CommentTextChar"/>
    <w:uiPriority w:val="99"/>
    <w:semiHidden/>
    <w:unhideWhenUsed/>
    <w:rsid w:val="008B6166"/>
    <w:pPr>
      <w:spacing w:line="240" w:lineRule="auto"/>
    </w:pPr>
    <w:rPr>
      <w:sz w:val="20"/>
      <w:szCs w:val="20"/>
    </w:rPr>
  </w:style>
  <w:style w:type="character" w:customStyle="1" w:styleId="CommentTextChar">
    <w:name w:val="Comment Text Char"/>
    <w:basedOn w:val="DefaultParagraphFont"/>
    <w:link w:val="CommentText"/>
    <w:uiPriority w:val="99"/>
    <w:semiHidden/>
    <w:rsid w:val="008B6166"/>
    <w:rPr>
      <w:sz w:val="20"/>
      <w:szCs w:val="20"/>
    </w:rPr>
  </w:style>
  <w:style w:type="paragraph" w:styleId="CommentSubject">
    <w:name w:val="annotation subject"/>
    <w:basedOn w:val="CommentText"/>
    <w:next w:val="CommentText"/>
    <w:link w:val="CommentSubjectChar"/>
    <w:uiPriority w:val="99"/>
    <w:semiHidden/>
    <w:unhideWhenUsed/>
    <w:rsid w:val="008B6166"/>
    <w:rPr>
      <w:b/>
      <w:bCs/>
    </w:rPr>
  </w:style>
  <w:style w:type="character" w:customStyle="1" w:styleId="CommentSubjectChar">
    <w:name w:val="Comment Subject Char"/>
    <w:basedOn w:val="CommentTextChar"/>
    <w:link w:val="CommentSubject"/>
    <w:uiPriority w:val="99"/>
    <w:semiHidden/>
    <w:rsid w:val="008B6166"/>
    <w:rPr>
      <w:b/>
      <w:bCs/>
      <w:sz w:val="20"/>
      <w:szCs w:val="20"/>
    </w:rPr>
  </w:style>
  <w:style w:type="paragraph" w:styleId="BalloonText">
    <w:name w:val="Balloon Text"/>
    <w:basedOn w:val="Normal"/>
    <w:link w:val="BalloonTextChar"/>
    <w:uiPriority w:val="99"/>
    <w:semiHidden/>
    <w:unhideWhenUsed/>
    <w:rsid w:val="008B616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B616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FB00A344AD4B3C4EA6979C35CC7DF930" ma:contentTypeVersion="12" ma:contentTypeDescription="Create a new document." ma:contentTypeScope="" ma:versionID="c3e832422548230a2db5ef52f013678c">
  <xsd:schema xmlns:xsd="http://www.w3.org/2001/XMLSchema" xmlns:xs="http://www.w3.org/2001/XMLSchema" xmlns:p="http://schemas.microsoft.com/office/2006/metadata/properties" xmlns:ns2="8b9ce5d0-abb6-41f5-8b79-7270062041bb" xmlns:ns3="7c6beee5-96e9-4dc7-8dc1-88fbaf44382b" targetNamespace="http://schemas.microsoft.com/office/2006/metadata/properties" ma:root="true" ma:fieldsID="b79477d1fec01ae73b867785e8fde30f" ns2:_="" ns3:_="">
    <xsd:import namespace="8b9ce5d0-abb6-41f5-8b79-7270062041bb"/>
    <xsd:import namespace="7c6beee5-96e9-4dc7-8dc1-88fbaf44382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9ce5d0-abb6-41f5-8b79-7270062041b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c6beee5-96e9-4dc7-8dc1-88fbaf44382b"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64DD04-8517-48D9-B9F6-692580976421}">
  <ds:schemaRefs>
    <ds:schemaRef ds:uri="http://schemas.openxmlformats.org/officeDocument/2006/bibliography"/>
  </ds:schemaRefs>
</ds:datastoreItem>
</file>

<file path=customXml/itemProps2.xml><?xml version="1.0" encoding="utf-8"?>
<ds:datastoreItem xmlns:ds="http://schemas.openxmlformats.org/officeDocument/2006/customXml" ds:itemID="{9591FB57-AEF9-49CB-B632-C4C692BA0D72}"/>
</file>

<file path=customXml/itemProps3.xml><?xml version="1.0" encoding="utf-8"?>
<ds:datastoreItem xmlns:ds="http://schemas.openxmlformats.org/officeDocument/2006/customXml" ds:itemID="{4ADC2DF5-32B7-41AB-A9D8-989E8B703D14}"/>
</file>

<file path=customXml/itemProps4.xml><?xml version="1.0" encoding="utf-8"?>
<ds:datastoreItem xmlns:ds="http://schemas.openxmlformats.org/officeDocument/2006/customXml" ds:itemID="{2380505A-B4BB-48EB-84CB-C86CBA01356B}"/>
</file>

<file path=docProps/app.xml><?xml version="1.0" encoding="utf-8"?>
<Properties xmlns="http://schemas.openxmlformats.org/officeDocument/2006/extended-properties" xmlns:vt="http://schemas.openxmlformats.org/officeDocument/2006/docPropsVTypes">
  <Template>Normal.dotm</Template>
  <TotalTime>1</TotalTime>
  <Pages>1</Pages>
  <Words>850</Words>
  <Characters>4850</Characters>
  <Application>Microsoft Office Word</Application>
  <DocSecurity>4</DocSecurity>
  <Lines>40</Lines>
  <Paragraphs>11</Paragraphs>
  <ScaleCrop>false</ScaleCrop>
  <Company/>
  <LinksUpToDate>false</LinksUpToDate>
  <CharactersWithSpaces>5689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Lindsay Lichti</dc:creator>
  <cp:keywords/>
  <dc:description/>
  <cp:lastModifiedBy>Lindsay Lichti</cp:lastModifiedBy>
  <cp:revision>40</cp:revision>
  <dcterms:created xsi:type="dcterms:W3CDTF">2020-03-12T22:11:00Z</dcterms:created>
  <dcterms:modified xsi:type="dcterms:W3CDTF">2020-03-30T17:23:00Z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0x010100FB00A344AD4B3C4EA6979C35CC7DF930</vt:lpwstr>
  </property>
</Properties>
</file>