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D4F6" w14:textId="0418CEC3" w:rsidR="00F3568C" w:rsidRPr="00171760" w:rsidRDefault="003D534B">
      <w:pPr>
        <w:rPr>
          <w:rFonts w:cstheme="minorHAnsi"/>
          <w:b/>
          <w:bCs/>
          <w:sz w:val="32"/>
          <w:szCs w:val="32"/>
        </w:rPr>
      </w:pPr>
      <w:r w:rsidRPr="00171760">
        <w:rPr>
          <w:rFonts w:cstheme="minorHAnsi"/>
          <w:b/>
          <w:bCs/>
          <w:sz w:val="32"/>
          <w:szCs w:val="32"/>
        </w:rPr>
        <w:t>Attachment A: Deliverables</w:t>
      </w:r>
    </w:p>
    <w:p w14:paraId="112F65B4" w14:textId="63018A46" w:rsidR="003D534B" w:rsidRPr="005830B7" w:rsidRDefault="003D534B" w:rsidP="003D534B">
      <w:pPr>
        <w:rPr>
          <w:rFonts w:cstheme="minorHAnsi"/>
          <w:sz w:val="24"/>
          <w:szCs w:val="24"/>
        </w:rPr>
      </w:pPr>
      <w:r w:rsidRPr="005830B7">
        <w:rPr>
          <w:rFonts w:cstheme="minorHAnsi"/>
          <w:sz w:val="24"/>
          <w:szCs w:val="24"/>
        </w:rPr>
        <w:t xml:space="preserve">The following reports and deliverables are due from EQRO to FHKC by the dates indicated in the chart below. This chart is not an exhaustive list of reports and deliverables required by the Contract. In the event of any conflict between Attachment A and the Contract, the Contract supersedes. </w:t>
      </w:r>
    </w:p>
    <w:tbl>
      <w:tblPr>
        <w:tblStyle w:val="TableGrid"/>
        <w:tblW w:w="0" w:type="auto"/>
        <w:tblCellMar>
          <w:left w:w="115" w:type="dxa"/>
          <w:bottom w:w="120" w:type="dxa"/>
          <w:right w:w="115" w:type="dxa"/>
        </w:tblCellMar>
        <w:tblLook w:val="04A0" w:firstRow="1" w:lastRow="0" w:firstColumn="1" w:lastColumn="0" w:noHBand="0" w:noVBand="1"/>
      </w:tblPr>
      <w:tblGrid>
        <w:gridCol w:w="3595"/>
        <w:gridCol w:w="2340"/>
        <w:gridCol w:w="3415"/>
      </w:tblGrid>
      <w:tr w:rsidR="003D534B" w:rsidRPr="005830B7" w14:paraId="2F2DB947" w14:textId="77777777" w:rsidTr="000A7FD5">
        <w:tc>
          <w:tcPr>
            <w:tcW w:w="3595" w:type="dxa"/>
          </w:tcPr>
          <w:p w14:paraId="4DD301E9" w14:textId="77777777" w:rsidR="003D534B" w:rsidRPr="005830B7" w:rsidRDefault="003D534B" w:rsidP="000A7FD5">
            <w:pPr>
              <w:rPr>
                <w:rFonts w:cstheme="minorHAnsi"/>
                <w:b/>
                <w:bCs/>
                <w:sz w:val="24"/>
                <w:szCs w:val="24"/>
              </w:rPr>
            </w:pPr>
            <w:r w:rsidRPr="005830B7">
              <w:rPr>
                <w:rFonts w:cstheme="minorHAnsi"/>
                <w:b/>
                <w:bCs/>
                <w:sz w:val="24"/>
                <w:szCs w:val="24"/>
              </w:rPr>
              <w:t>Report/Deliverable Name</w:t>
            </w:r>
          </w:p>
        </w:tc>
        <w:tc>
          <w:tcPr>
            <w:tcW w:w="2340" w:type="dxa"/>
          </w:tcPr>
          <w:p w14:paraId="32FD3604" w14:textId="77777777" w:rsidR="003D534B" w:rsidRPr="005830B7" w:rsidRDefault="003D534B" w:rsidP="000A7FD5">
            <w:pPr>
              <w:rPr>
                <w:rFonts w:cstheme="minorHAnsi"/>
                <w:b/>
                <w:bCs/>
                <w:sz w:val="24"/>
                <w:szCs w:val="24"/>
              </w:rPr>
            </w:pPr>
            <w:r w:rsidRPr="005830B7">
              <w:rPr>
                <w:rFonts w:cstheme="minorHAnsi"/>
                <w:b/>
                <w:bCs/>
                <w:sz w:val="24"/>
                <w:szCs w:val="24"/>
              </w:rPr>
              <w:t>Contractual Reference</w:t>
            </w:r>
          </w:p>
        </w:tc>
        <w:tc>
          <w:tcPr>
            <w:tcW w:w="3415" w:type="dxa"/>
          </w:tcPr>
          <w:p w14:paraId="370E0049" w14:textId="77777777" w:rsidR="003D534B" w:rsidRPr="005830B7" w:rsidRDefault="003D534B" w:rsidP="000A7FD5">
            <w:pPr>
              <w:rPr>
                <w:rFonts w:cstheme="minorHAnsi"/>
                <w:b/>
                <w:bCs/>
                <w:sz w:val="24"/>
                <w:szCs w:val="24"/>
              </w:rPr>
            </w:pPr>
            <w:r w:rsidRPr="005830B7">
              <w:rPr>
                <w:rFonts w:cstheme="minorHAnsi"/>
                <w:b/>
                <w:bCs/>
                <w:sz w:val="24"/>
                <w:szCs w:val="24"/>
              </w:rPr>
              <w:t>Frequency and Due Dates</w:t>
            </w:r>
          </w:p>
        </w:tc>
      </w:tr>
      <w:tr w:rsidR="003D534B" w:rsidRPr="005830B7" w14:paraId="4361B7AD" w14:textId="77777777" w:rsidTr="000A7FD5">
        <w:tc>
          <w:tcPr>
            <w:tcW w:w="3595" w:type="dxa"/>
          </w:tcPr>
          <w:p w14:paraId="08299A95" w14:textId="77777777" w:rsidR="003D534B" w:rsidRPr="005830B7" w:rsidRDefault="003D534B" w:rsidP="000A7FD5">
            <w:pPr>
              <w:rPr>
                <w:rFonts w:cstheme="minorHAnsi"/>
                <w:sz w:val="24"/>
                <w:szCs w:val="24"/>
              </w:rPr>
            </w:pPr>
            <w:r w:rsidRPr="005830B7">
              <w:rPr>
                <w:rFonts w:cstheme="minorHAnsi"/>
                <w:sz w:val="24"/>
                <w:szCs w:val="24"/>
              </w:rPr>
              <w:t>Implementation plan</w:t>
            </w:r>
          </w:p>
        </w:tc>
        <w:tc>
          <w:tcPr>
            <w:tcW w:w="2340" w:type="dxa"/>
          </w:tcPr>
          <w:p w14:paraId="3F1C0C0A" w14:textId="6ACAAACD" w:rsidR="003D534B" w:rsidRPr="005830B7" w:rsidRDefault="00B8519D" w:rsidP="000A7FD5">
            <w:pPr>
              <w:rPr>
                <w:rFonts w:cstheme="minorHAnsi"/>
                <w:sz w:val="24"/>
                <w:szCs w:val="24"/>
              </w:rPr>
            </w:pPr>
            <w:r>
              <w:rPr>
                <w:rFonts w:cstheme="minorHAnsi"/>
                <w:sz w:val="24"/>
                <w:szCs w:val="24"/>
              </w:rPr>
              <w:t>ITN</w:t>
            </w:r>
          </w:p>
        </w:tc>
        <w:tc>
          <w:tcPr>
            <w:tcW w:w="3415" w:type="dxa"/>
          </w:tcPr>
          <w:p w14:paraId="3206A12B" w14:textId="422CA0B1" w:rsidR="003D534B" w:rsidRPr="005830B7" w:rsidRDefault="00894798" w:rsidP="000A7FD5">
            <w:pPr>
              <w:rPr>
                <w:rFonts w:cstheme="minorHAnsi"/>
                <w:sz w:val="24"/>
                <w:szCs w:val="24"/>
              </w:rPr>
            </w:pPr>
            <w:r>
              <w:rPr>
                <w:rFonts w:cstheme="minorHAnsi"/>
                <w:sz w:val="24"/>
                <w:szCs w:val="24"/>
              </w:rPr>
              <w:t>Within 5 Business Days of Contract execution</w:t>
            </w:r>
          </w:p>
        </w:tc>
      </w:tr>
      <w:tr w:rsidR="003D534B" w:rsidRPr="005830B7" w14:paraId="4C49D807" w14:textId="77777777" w:rsidTr="000A7FD5">
        <w:tc>
          <w:tcPr>
            <w:tcW w:w="3595" w:type="dxa"/>
          </w:tcPr>
          <w:p w14:paraId="0EA49E46" w14:textId="605BDE92" w:rsidR="003D534B" w:rsidRPr="005830B7" w:rsidRDefault="0077380D" w:rsidP="000A7FD5">
            <w:pPr>
              <w:rPr>
                <w:rFonts w:cstheme="minorHAnsi"/>
                <w:sz w:val="24"/>
                <w:szCs w:val="24"/>
              </w:rPr>
            </w:pPr>
            <w:r w:rsidRPr="005830B7">
              <w:rPr>
                <w:rFonts w:cstheme="minorHAnsi"/>
                <w:sz w:val="24"/>
                <w:szCs w:val="24"/>
              </w:rPr>
              <w:t>PIP Report</w:t>
            </w:r>
            <w:r w:rsidR="00197D81" w:rsidRPr="005830B7">
              <w:rPr>
                <w:rFonts w:cstheme="minorHAnsi"/>
                <w:sz w:val="24"/>
                <w:szCs w:val="24"/>
              </w:rPr>
              <w:t>s</w:t>
            </w:r>
          </w:p>
        </w:tc>
        <w:tc>
          <w:tcPr>
            <w:tcW w:w="2340" w:type="dxa"/>
          </w:tcPr>
          <w:p w14:paraId="5C58921C" w14:textId="477C4A85" w:rsidR="003D534B" w:rsidRPr="005830B7" w:rsidRDefault="0077380D" w:rsidP="000A7FD5">
            <w:pPr>
              <w:rPr>
                <w:rFonts w:cstheme="minorHAnsi"/>
                <w:sz w:val="24"/>
                <w:szCs w:val="24"/>
              </w:rPr>
            </w:pPr>
            <w:r w:rsidRPr="005830B7">
              <w:rPr>
                <w:rFonts w:cstheme="minorHAnsi"/>
                <w:sz w:val="24"/>
                <w:szCs w:val="24"/>
              </w:rPr>
              <w:t>3.1</w:t>
            </w:r>
          </w:p>
        </w:tc>
        <w:tc>
          <w:tcPr>
            <w:tcW w:w="3415" w:type="dxa"/>
          </w:tcPr>
          <w:p w14:paraId="4CEA1C3B" w14:textId="1325541A" w:rsidR="003D534B" w:rsidRPr="005830B7" w:rsidRDefault="001F4CAC" w:rsidP="000A7FD5">
            <w:pPr>
              <w:rPr>
                <w:rFonts w:cstheme="minorHAnsi"/>
                <w:sz w:val="24"/>
                <w:szCs w:val="24"/>
              </w:rPr>
            </w:pPr>
            <w:r>
              <w:rPr>
                <w:rFonts w:cstheme="minorHAnsi"/>
                <w:sz w:val="24"/>
                <w:szCs w:val="24"/>
              </w:rPr>
              <w:t>November 1; annually</w:t>
            </w:r>
          </w:p>
        </w:tc>
      </w:tr>
      <w:tr w:rsidR="003D534B" w:rsidRPr="005830B7" w14:paraId="39FEA588" w14:textId="77777777" w:rsidTr="000A7FD5">
        <w:tc>
          <w:tcPr>
            <w:tcW w:w="3595" w:type="dxa"/>
          </w:tcPr>
          <w:p w14:paraId="2C6E3B05" w14:textId="2C3E4DE8" w:rsidR="003D534B" w:rsidRPr="005830B7" w:rsidRDefault="00197D81" w:rsidP="000A7FD5">
            <w:pPr>
              <w:rPr>
                <w:rFonts w:cstheme="minorHAnsi"/>
                <w:sz w:val="24"/>
                <w:szCs w:val="24"/>
              </w:rPr>
            </w:pPr>
            <w:r w:rsidRPr="005830B7">
              <w:rPr>
                <w:rFonts w:cstheme="minorHAnsi"/>
                <w:sz w:val="24"/>
                <w:szCs w:val="24"/>
              </w:rPr>
              <w:t>Performance Measure Validation Reports</w:t>
            </w:r>
          </w:p>
        </w:tc>
        <w:tc>
          <w:tcPr>
            <w:tcW w:w="2340" w:type="dxa"/>
          </w:tcPr>
          <w:p w14:paraId="1BDAEB5C" w14:textId="7AA520BA" w:rsidR="003D534B" w:rsidRPr="005830B7" w:rsidRDefault="00197D81" w:rsidP="000A7FD5">
            <w:pPr>
              <w:rPr>
                <w:rFonts w:cstheme="minorHAnsi"/>
                <w:sz w:val="24"/>
                <w:szCs w:val="24"/>
              </w:rPr>
            </w:pPr>
            <w:r w:rsidRPr="005830B7">
              <w:rPr>
                <w:rFonts w:cstheme="minorHAnsi"/>
                <w:sz w:val="24"/>
                <w:szCs w:val="24"/>
              </w:rPr>
              <w:t>3.2</w:t>
            </w:r>
          </w:p>
        </w:tc>
        <w:tc>
          <w:tcPr>
            <w:tcW w:w="3415" w:type="dxa"/>
          </w:tcPr>
          <w:p w14:paraId="3883F945" w14:textId="74A0EC14" w:rsidR="003D534B" w:rsidRPr="005830B7" w:rsidRDefault="00F975DB" w:rsidP="000A7FD5">
            <w:pPr>
              <w:rPr>
                <w:rFonts w:cstheme="minorHAnsi"/>
                <w:sz w:val="24"/>
                <w:szCs w:val="24"/>
              </w:rPr>
            </w:pPr>
            <w:r>
              <w:rPr>
                <w:rFonts w:cstheme="minorHAnsi"/>
                <w:sz w:val="24"/>
                <w:szCs w:val="24"/>
              </w:rPr>
              <w:t>September 30; annually</w:t>
            </w:r>
          </w:p>
        </w:tc>
      </w:tr>
      <w:tr w:rsidR="003D534B" w:rsidRPr="005830B7" w14:paraId="3244D49B" w14:textId="77777777" w:rsidTr="000A7FD5">
        <w:tc>
          <w:tcPr>
            <w:tcW w:w="3595" w:type="dxa"/>
          </w:tcPr>
          <w:p w14:paraId="3DD5E442" w14:textId="6783E6A0" w:rsidR="003D534B" w:rsidRPr="005830B7" w:rsidRDefault="00197D81" w:rsidP="000A7FD5">
            <w:pPr>
              <w:rPr>
                <w:rFonts w:cstheme="minorHAnsi"/>
                <w:sz w:val="24"/>
                <w:szCs w:val="24"/>
              </w:rPr>
            </w:pPr>
            <w:r w:rsidRPr="005830B7">
              <w:rPr>
                <w:rFonts w:cstheme="minorHAnsi"/>
                <w:sz w:val="24"/>
                <w:szCs w:val="24"/>
              </w:rPr>
              <w:t>Compliance Assessment Reports</w:t>
            </w:r>
          </w:p>
        </w:tc>
        <w:tc>
          <w:tcPr>
            <w:tcW w:w="2340" w:type="dxa"/>
          </w:tcPr>
          <w:p w14:paraId="51A29E67" w14:textId="7CB5B6C2" w:rsidR="003D534B" w:rsidRPr="005830B7" w:rsidRDefault="00197D81" w:rsidP="000A7FD5">
            <w:pPr>
              <w:rPr>
                <w:rFonts w:cstheme="minorHAnsi"/>
                <w:sz w:val="24"/>
                <w:szCs w:val="24"/>
              </w:rPr>
            </w:pPr>
            <w:r w:rsidRPr="005830B7">
              <w:rPr>
                <w:rFonts w:cstheme="minorHAnsi"/>
                <w:sz w:val="24"/>
                <w:szCs w:val="24"/>
              </w:rPr>
              <w:t>3.3</w:t>
            </w:r>
          </w:p>
        </w:tc>
        <w:tc>
          <w:tcPr>
            <w:tcW w:w="3415" w:type="dxa"/>
          </w:tcPr>
          <w:p w14:paraId="66A3BADE" w14:textId="0C15C0D9" w:rsidR="003D534B" w:rsidRPr="005830B7" w:rsidRDefault="006E555D" w:rsidP="000A7FD5">
            <w:pPr>
              <w:rPr>
                <w:rFonts w:cstheme="minorHAnsi"/>
                <w:sz w:val="24"/>
                <w:szCs w:val="24"/>
              </w:rPr>
            </w:pPr>
            <w:r>
              <w:rPr>
                <w:rFonts w:cstheme="minorHAnsi"/>
                <w:sz w:val="24"/>
                <w:szCs w:val="24"/>
              </w:rPr>
              <w:t>December 1; annually</w:t>
            </w:r>
          </w:p>
        </w:tc>
      </w:tr>
      <w:tr w:rsidR="003D534B" w:rsidRPr="005830B7" w14:paraId="430CCF98" w14:textId="77777777" w:rsidTr="000A7FD5">
        <w:tc>
          <w:tcPr>
            <w:tcW w:w="3595" w:type="dxa"/>
          </w:tcPr>
          <w:p w14:paraId="4E602F9B" w14:textId="13332BC2" w:rsidR="003D534B" w:rsidRPr="005830B7" w:rsidRDefault="00197D81" w:rsidP="000A7FD5">
            <w:pPr>
              <w:rPr>
                <w:rFonts w:cstheme="minorHAnsi"/>
                <w:sz w:val="24"/>
                <w:szCs w:val="24"/>
              </w:rPr>
            </w:pPr>
            <w:r w:rsidRPr="005830B7">
              <w:rPr>
                <w:rFonts w:cstheme="minorHAnsi"/>
                <w:sz w:val="24"/>
                <w:szCs w:val="24"/>
              </w:rPr>
              <w:t xml:space="preserve">Network Adequacy Validation Reports </w:t>
            </w:r>
          </w:p>
        </w:tc>
        <w:tc>
          <w:tcPr>
            <w:tcW w:w="2340" w:type="dxa"/>
          </w:tcPr>
          <w:p w14:paraId="5B0F1DA1" w14:textId="2A853EE5" w:rsidR="003D534B" w:rsidRPr="005830B7" w:rsidRDefault="00197D81" w:rsidP="000A7FD5">
            <w:pPr>
              <w:rPr>
                <w:rFonts w:cstheme="minorHAnsi"/>
                <w:sz w:val="24"/>
                <w:szCs w:val="24"/>
              </w:rPr>
            </w:pPr>
            <w:r w:rsidRPr="005830B7">
              <w:rPr>
                <w:rFonts w:cstheme="minorHAnsi"/>
                <w:sz w:val="24"/>
                <w:szCs w:val="24"/>
              </w:rPr>
              <w:t>3.4</w:t>
            </w:r>
          </w:p>
        </w:tc>
        <w:tc>
          <w:tcPr>
            <w:tcW w:w="3415" w:type="dxa"/>
          </w:tcPr>
          <w:p w14:paraId="6DF09EE6" w14:textId="4CEC3DF9" w:rsidR="003D534B" w:rsidRPr="005830B7" w:rsidRDefault="00443068" w:rsidP="000A7FD5">
            <w:pPr>
              <w:rPr>
                <w:rFonts w:cstheme="minorHAnsi"/>
                <w:sz w:val="24"/>
                <w:szCs w:val="24"/>
              </w:rPr>
            </w:pPr>
            <w:r>
              <w:rPr>
                <w:rFonts w:cstheme="minorHAnsi"/>
                <w:sz w:val="24"/>
                <w:szCs w:val="24"/>
              </w:rPr>
              <w:t>August 31; annually</w:t>
            </w:r>
          </w:p>
        </w:tc>
      </w:tr>
      <w:tr w:rsidR="003D534B" w:rsidRPr="005830B7" w14:paraId="5106F21B" w14:textId="77777777" w:rsidTr="000A7FD5">
        <w:tc>
          <w:tcPr>
            <w:tcW w:w="3595" w:type="dxa"/>
          </w:tcPr>
          <w:p w14:paraId="762807BE" w14:textId="5FFDC62D" w:rsidR="003D534B" w:rsidRPr="005830B7" w:rsidRDefault="00197D81" w:rsidP="00197D81">
            <w:pPr>
              <w:rPr>
                <w:rFonts w:cstheme="minorHAnsi"/>
                <w:sz w:val="24"/>
                <w:szCs w:val="24"/>
              </w:rPr>
            </w:pPr>
            <w:r w:rsidRPr="005830B7">
              <w:rPr>
                <w:rFonts w:cstheme="minorHAnsi"/>
                <w:sz w:val="24"/>
                <w:szCs w:val="24"/>
              </w:rPr>
              <w:t>Encounter Validation Reports</w:t>
            </w:r>
          </w:p>
        </w:tc>
        <w:tc>
          <w:tcPr>
            <w:tcW w:w="2340" w:type="dxa"/>
          </w:tcPr>
          <w:p w14:paraId="78BE0306" w14:textId="4C47C148" w:rsidR="003D534B" w:rsidRPr="005830B7" w:rsidRDefault="00197D81" w:rsidP="000A7FD5">
            <w:pPr>
              <w:rPr>
                <w:rFonts w:cstheme="minorHAnsi"/>
                <w:sz w:val="24"/>
                <w:szCs w:val="24"/>
              </w:rPr>
            </w:pPr>
            <w:r w:rsidRPr="005830B7">
              <w:rPr>
                <w:rFonts w:cstheme="minorHAnsi"/>
                <w:sz w:val="24"/>
                <w:szCs w:val="24"/>
              </w:rPr>
              <w:t>3.5</w:t>
            </w:r>
          </w:p>
        </w:tc>
        <w:tc>
          <w:tcPr>
            <w:tcW w:w="3415" w:type="dxa"/>
          </w:tcPr>
          <w:p w14:paraId="2C86F8E3" w14:textId="70AB33F3" w:rsidR="003D534B" w:rsidRPr="005830B7" w:rsidRDefault="00117109" w:rsidP="000A7FD5">
            <w:pPr>
              <w:rPr>
                <w:rFonts w:cstheme="minorHAnsi"/>
                <w:sz w:val="24"/>
                <w:szCs w:val="24"/>
              </w:rPr>
            </w:pPr>
            <w:r>
              <w:rPr>
                <w:rFonts w:cstheme="minorHAnsi"/>
                <w:sz w:val="24"/>
                <w:szCs w:val="24"/>
              </w:rPr>
              <w:t>45 days after receipt of the encounter data</w:t>
            </w:r>
            <w:r w:rsidR="0079373F">
              <w:rPr>
                <w:rFonts w:cstheme="minorHAnsi"/>
                <w:sz w:val="24"/>
                <w:szCs w:val="24"/>
              </w:rPr>
              <w:t>; quarterly</w:t>
            </w:r>
          </w:p>
        </w:tc>
      </w:tr>
      <w:tr w:rsidR="003D534B" w:rsidRPr="005830B7" w14:paraId="5F16A01C" w14:textId="77777777" w:rsidTr="000A7FD5">
        <w:tc>
          <w:tcPr>
            <w:tcW w:w="3595" w:type="dxa"/>
          </w:tcPr>
          <w:p w14:paraId="61ADA9B6" w14:textId="53F137CE" w:rsidR="003D534B" w:rsidRPr="005830B7" w:rsidRDefault="00197D81" w:rsidP="000A7FD5">
            <w:pPr>
              <w:rPr>
                <w:rFonts w:cstheme="minorHAnsi"/>
                <w:sz w:val="24"/>
                <w:szCs w:val="24"/>
              </w:rPr>
            </w:pPr>
            <w:r w:rsidRPr="005830B7">
              <w:rPr>
                <w:rFonts w:cstheme="minorHAnsi"/>
                <w:sz w:val="24"/>
                <w:szCs w:val="24"/>
              </w:rPr>
              <w:t>Annual Technical Report</w:t>
            </w:r>
          </w:p>
        </w:tc>
        <w:tc>
          <w:tcPr>
            <w:tcW w:w="2340" w:type="dxa"/>
          </w:tcPr>
          <w:p w14:paraId="5E54A074" w14:textId="730F8DFF" w:rsidR="003D534B" w:rsidRPr="005830B7" w:rsidRDefault="00197D81" w:rsidP="000A7FD5">
            <w:pPr>
              <w:rPr>
                <w:rFonts w:cstheme="minorHAnsi"/>
                <w:sz w:val="24"/>
                <w:szCs w:val="24"/>
              </w:rPr>
            </w:pPr>
            <w:r w:rsidRPr="005830B7">
              <w:rPr>
                <w:rFonts w:cstheme="minorHAnsi"/>
                <w:sz w:val="24"/>
                <w:szCs w:val="24"/>
              </w:rPr>
              <w:t>3.8.1</w:t>
            </w:r>
          </w:p>
        </w:tc>
        <w:tc>
          <w:tcPr>
            <w:tcW w:w="3415" w:type="dxa"/>
          </w:tcPr>
          <w:p w14:paraId="6F9C6D36" w14:textId="7EF8C1F6" w:rsidR="003D534B" w:rsidRPr="005830B7" w:rsidRDefault="002861A2" w:rsidP="000A7FD5">
            <w:pPr>
              <w:rPr>
                <w:rFonts w:cstheme="minorHAnsi"/>
                <w:sz w:val="24"/>
                <w:szCs w:val="24"/>
              </w:rPr>
            </w:pPr>
            <w:r>
              <w:rPr>
                <w:rFonts w:cstheme="minorHAnsi"/>
                <w:sz w:val="24"/>
                <w:szCs w:val="24"/>
              </w:rPr>
              <w:t>January 2; annually</w:t>
            </w:r>
          </w:p>
        </w:tc>
      </w:tr>
      <w:tr w:rsidR="003D534B" w:rsidRPr="005830B7" w14:paraId="443A0908" w14:textId="77777777" w:rsidTr="000A7FD5">
        <w:tc>
          <w:tcPr>
            <w:tcW w:w="3595" w:type="dxa"/>
          </w:tcPr>
          <w:p w14:paraId="5023A3DC" w14:textId="0AF8F8C3" w:rsidR="003D534B" w:rsidRPr="005830B7" w:rsidRDefault="00197D81" w:rsidP="000A7FD5">
            <w:pPr>
              <w:rPr>
                <w:rFonts w:cstheme="minorHAnsi"/>
                <w:sz w:val="24"/>
                <w:szCs w:val="24"/>
              </w:rPr>
            </w:pPr>
            <w:r w:rsidRPr="005830B7">
              <w:rPr>
                <w:rFonts w:cstheme="minorHAnsi"/>
                <w:sz w:val="24"/>
                <w:szCs w:val="24"/>
              </w:rPr>
              <w:t>Monthly Activities Report</w:t>
            </w:r>
          </w:p>
        </w:tc>
        <w:tc>
          <w:tcPr>
            <w:tcW w:w="2340" w:type="dxa"/>
          </w:tcPr>
          <w:p w14:paraId="02520F95" w14:textId="634B6BA7" w:rsidR="003D534B" w:rsidRPr="005830B7" w:rsidRDefault="00197D81" w:rsidP="000A7FD5">
            <w:pPr>
              <w:rPr>
                <w:rFonts w:cstheme="minorHAnsi"/>
                <w:sz w:val="24"/>
                <w:szCs w:val="24"/>
              </w:rPr>
            </w:pPr>
            <w:r w:rsidRPr="005830B7">
              <w:rPr>
                <w:rFonts w:cstheme="minorHAnsi"/>
                <w:sz w:val="24"/>
                <w:szCs w:val="24"/>
              </w:rPr>
              <w:t>3.8.2</w:t>
            </w:r>
          </w:p>
        </w:tc>
        <w:tc>
          <w:tcPr>
            <w:tcW w:w="3415" w:type="dxa"/>
          </w:tcPr>
          <w:p w14:paraId="212C86BF" w14:textId="606F5176" w:rsidR="003D534B" w:rsidRPr="005830B7" w:rsidRDefault="00197D81" w:rsidP="000A7FD5">
            <w:pPr>
              <w:rPr>
                <w:rFonts w:cstheme="minorHAnsi"/>
                <w:sz w:val="24"/>
                <w:szCs w:val="24"/>
              </w:rPr>
            </w:pPr>
            <w:r w:rsidRPr="005830B7">
              <w:rPr>
                <w:rFonts w:cstheme="minorHAnsi"/>
                <w:sz w:val="24"/>
                <w:szCs w:val="24"/>
              </w:rPr>
              <w:t>5</w:t>
            </w:r>
            <w:r w:rsidRPr="005830B7">
              <w:rPr>
                <w:rFonts w:cstheme="minorHAnsi"/>
                <w:sz w:val="24"/>
                <w:szCs w:val="24"/>
                <w:vertAlign w:val="superscript"/>
              </w:rPr>
              <w:t>th</w:t>
            </w:r>
            <w:r w:rsidRPr="005830B7">
              <w:rPr>
                <w:rFonts w:cstheme="minorHAnsi"/>
                <w:sz w:val="24"/>
                <w:szCs w:val="24"/>
              </w:rPr>
              <w:t xml:space="preserve"> calendar day of each month; monthly</w:t>
            </w:r>
          </w:p>
        </w:tc>
      </w:tr>
      <w:tr w:rsidR="003D534B" w:rsidRPr="005830B7" w14:paraId="764799B1" w14:textId="77777777" w:rsidTr="000A7FD5">
        <w:tc>
          <w:tcPr>
            <w:tcW w:w="3595" w:type="dxa"/>
          </w:tcPr>
          <w:p w14:paraId="3327DB19" w14:textId="72A57596" w:rsidR="003D534B" w:rsidRPr="005830B7" w:rsidRDefault="00197D81" w:rsidP="000A7FD5">
            <w:pPr>
              <w:rPr>
                <w:rFonts w:cstheme="minorHAnsi"/>
                <w:sz w:val="24"/>
                <w:szCs w:val="24"/>
              </w:rPr>
            </w:pPr>
            <w:r w:rsidRPr="005830B7">
              <w:rPr>
                <w:rFonts w:cstheme="minorHAnsi"/>
                <w:sz w:val="24"/>
                <w:szCs w:val="24"/>
              </w:rPr>
              <w:t>Quarterly Activities Report</w:t>
            </w:r>
          </w:p>
        </w:tc>
        <w:tc>
          <w:tcPr>
            <w:tcW w:w="2340" w:type="dxa"/>
          </w:tcPr>
          <w:p w14:paraId="1B0D0CD6" w14:textId="4C53D564" w:rsidR="003D534B" w:rsidRPr="005830B7" w:rsidRDefault="00197D81" w:rsidP="000A7FD5">
            <w:pPr>
              <w:rPr>
                <w:rFonts w:cstheme="minorHAnsi"/>
                <w:sz w:val="24"/>
                <w:szCs w:val="24"/>
              </w:rPr>
            </w:pPr>
            <w:r w:rsidRPr="005830B7">
              <w:rPr>
                <w:rFonts w:cstheme="minorHAnsi"/>
                <w:sz w:val="24"/>
                <w:szCs w:val="24"/>
              </w:rPr>
              <w:t>3.8.2</w:t>
            </w:r>
          </w:p>
        </w:tc>
        <w:tc>
          <w:tcPr>
            <w:tcW w:w="3415" w:type="dxa"/>
          </w:tcPr>
          <w:p w14:paraId="5EB23928" w14:textId="1BE2FE85" w:rsidR="003D534B" w:rsidRPr="005830B7" w:rsidRDefault="00197D81" w:rsidP="000A7FD5">
            <w:pPr>
              <w:rPr>
                <w:rFonts w:cstheme="minorHAnsi"/>
                <w:sz w:val="24"/>
                <w:szCs w:val="24"/>
              </w:rPr>
            </w:pPr>
            <w:r w:rsidRPr="005830B7">
              <w:rPr>
                <w:rFonts w:cstheme="minorHAnsi"/>
                <w:sz w:val="24"/>
                <w:szCs w:val="24"/>
              </w:rPr>
              <w:t>15</w:t>
            </w:r>
            <w:r w:rsidRPr="005830B7">
              <w:rPr>
                <w:rFonts w:cstheme="minorHAnsi"/>
                <w:sz w:val="24"/>
                <w:szCs w:val="24"/>
                <w:vertAlign w:val="superscript"/>
              </w:rPr>
              <w:t>th</w:t>
            </w:r>
            <w:r w:rsidRPr="005830B7">
              <w:rPr>
                <w:rFonts w:cstheme="minorHAnsi"/>
                <w:sz w:val="24"/>
                <w:szCs w:val="24"/>
              </w:rPr>
              <w:t xml:space="preserve"> calendar day of the month; quarterly</w:t>
            </w:r>
          </w:p>
        </w:tc>
      </w:tr>
      <w:tr w:rsidR="00197D81" w:rsidRPr="005830B7" w14:paraId="4F50D444" w14:textId="77777777" w:rsidTr="000A7FD5">
        <w:tc>
          <w:tcPr>
            <w:tcW w:w="3595" w:type="dxa"/>
          </w:tcPr>
          <w:p w14:paraId="6556D6D7" w14:textId="725C5052" w:rsidR="00197D81" w:rsidRPr="005830B7" w:rsidRDefault="00197D81" w:rsidP="000A7FD5">
            <w:pPr>
              <w:rPr>
                <w:rFonts w:cstheme="minorHAnsi"/>
                <w:sz w:val="24"/>
                <w:szCs w:val="24"/>
              </w:rPr>
            </w:pPr>
            <w:r w:rsidRPr="005830B7">
              <w:rPr>
                <w:rFonts w:cstheme="minorHAnsi"/>
                <w:sz w:val="24"/>
                <w:szCs w:val="24"/>
              </w:rPr>
              <w:t>Internal Quality Control Plan</w:t>
            </w:r>
          </w:p>
        </w:tc>
        <w:tc>
          <w:tcPr>
            <w:tcW w:w="2340" w:type="dxa"/>
          </w:tcPr>
          <w:p w14:paraId="4F7CE021" w14:textId="10E6A3D1" w:rsidR="00197D81" w:rsidRPr="005830B7" w:rsidRDefault="00197D81" w:rsidP="000A7FD5">
            <w:pPr>
              <w:rPr>
                <w:rFonts w:cstheme="minorHAnsi"/>
                <w:sz w:val="24"/>
                <w:szCs w:val="24"/>
              </w:rPr>
            </w:pPr>
            <w:r w:rsidRPr="005830B7">
              <w:rPr>
                <w:rFonts w:cstheme="minorHAnsi"/>
                <w:sz w:val="24"/>
                <w:szCs w:val="24"/>
              </w:rPr>
              <w:t>3.8.3</w:t>
            </w:r>
          </w:p>
        </w:tc>
        <w:tc>
          <w:tcPr>
            <w:tcW w:w="3415" w:type="dxa"/>
          </w:tcPr>
          <w:p w14:paraId="04AF2CA8" w14:textId="5990D30E" w:rsidR="00197D81" w:rsidRPr="005830B7" w:rsidRDefault="00197D81" w:rsidP="000A7FD5">
            <w:pPr>
              <w:rPr>
                <w:rFonts w:cstheme="minorHAnsi"/>
                <w:sz w:val="24"/>
                <w:szCs w:val="24"/>
              </w:rPr>
            </w:pPr>
            <w:r w:rsidRPr="005830B7">
              <w:rPr>
                <w:rFonts w:cstheme="minorHAnsi"/>
                <w:sz w:val="24"/>
                <w:szCs w:val="24"/>
              </w:rPr>
              <w:t>July 1; annually</w:t>
            </w:r>
          </w:p>
        </w:tc>
      </w:tr>
      <w:tr w:rsidR="00197D81" w:rsidRPr="005830B7" w14:paraId="1A6AF7EC" w14:textId="77777777" w:rsidTr="000A7FD5">
        <w:tc>
          <w:tcPr>
            <w:tcW w:w="3595" w:type="dxa"/>
          </w:tcPr>
          <w:p w14:paraId="72A07A47" w14:textId="37762AD1" w:rsidR="00197D81" w:rsidRPr="005830B7" w:rsidRDefault="00197D81" w:rsidP="000A7FD5">
            <w:pPr>
              <w:rPr>
                <w:rFonts w:cstheme="minorHAnsi"/>
                <w:sz w:val="24"/>
                <w:szCs w:val="24"/>
              </w:rPr>
            </w:pPr>
            <w:r w:rsidRPr="005830B7">
              <w:rPr>
                <w:rFonts w:cstheme="minorHAnsi"/>
                <w:sz w:val="24"/>
                <w:szCs w:val="24"/>
              </w:rPr>
              <w:t>Key Personnel Contract Matrix</w:t>
            </w:r>
          </w:p>
        </w:tc>
        <w:tc>
          <w:tcPr>
            <w:tcW w:w="2340" w:type="dxa"/>
          </w:tcPr>
          <w:p w14:paraId="117FE643" w14:textId="7E67833C" w:rsidR="00197D81" w:rsidRPr="005830B7" w:rsidRDefault="00197D81" w:rsidP="000A7FD5">
            <w:pPr>
              <w:rPr>
                <w:rFonts w:cstheme="minorHAnsi"/>
                <w:sz w:val="24"/>
                <w:szCs w:val="24"/>
              </w:rPr>
            </w:pPr>
            <w:r w:rsidRPr="005830B7">
              <w:rPr>
                <w:rFonts w:cstheme="minorHAnsi"/>
                <w:sz w:val="24"/>
                <w:szCs w:val="24"/>
              </w:rPr>
              <w:t>4.1.1</w:t>
            </w:r>
          </w:p>
        </w:tc>
        <w:tc>
          <w:tcPr>
            <w:tcW w:w="3415" w:type="dxa"/>
          </w:tcPr>
          <w:p w14:paraId="72B1648A" w14:textId="32E38596" w:rsidR="00197D81" w:rsidRPr="005830B7" w:rsidRDefault="00197D81" w:rsidP="000A7FD5">
            <w:pPr>
              <w:rPr>
                <w:rFonts w:cstheme="minorHAnsi"/>
                <w:sz w:val="24"/>
                <w:szCs w:val="24"/>
              </w:rPr>
            </w:pPr>
            <w:r w:rsidRPr="005830B7">
              <w:rPr>
                <w:rFonts w:cstheme="minorHAnsi"/>
                <w:sz w:val="24"/>
                <w:szCs w:val="24"/>
              </w:rPr>
              <w:t xml:space="preserve">Upon Contract </w:t>
            </w:r>
            <w:proofErr w:type="gramStart"/>
            <w:r w:rsidRPr="005830B7">
              <w:rPr>
                <w:rFonts w:cstheme="minorHAnsi"/>
                <w:sz w:val="24"/>
                <w:szCs w:val="24"/>
              </w:rPr>
              <w:t>execution;</w:t>
            </w:r>
            <w:proofErr w:type="gramEnd"/>
            <w:r w:rsidRPr="005830B7">
              <w:rPr>
                <w:rFonts w:cstheme="minorHAnsi"/>
                <w:sz w:val="24"/>
                <w:szCs w:val="24"/>
              </w:rPr>
              <w:t xml:space="preserve"> as changes occur</w:t>
            </w:r>
          </w:p>
        </w:tc>
      </w:tr>
      <w:tr w:rsidR="00197D81" w:rsidRPr="005830B7" w14:paraId="32897834" w14:textId="77777777" w:rsidTr="000A7FD5">
        <w:tc>
          <w:tcPr>
            <w:tcW w:w="3595" w:type="dxa"/>
          </w:tcPr>
          <w:p w14:paraId="39AD9CA8" w14:textId="1CF16420" w:rsidR="00197D81" w:rsidRPr="005830B7" w:rsidRDefault="00197D81" w:rsidP="000A7FD5">
            <w:pPr>
              <w:rPr>
                <w:rFonts w:cstheme="minorHAnsi"/>
                <w:sz w:val="24"/>
                <w:szCs w:val="24"/>
              </w:rPr>
            </w:pPr>
            <w:r w:rsidRPr="005830B7">
              <w:rPr>
                <w:rFonts w:cstheme="minorHAnsi"/>
                <w:sz w:val="24"/>
                <w:szCs w:val="24"/>
              </w:rPr>
              <w:t>Subcontractor Monitoring Schedule</w:t>
            </w:r>
          </w:p>
        </w:tc>
        <w:tc>
          <w:tcPr>
            <w:tcW w:w="2340" w:type="dxa"/>
          </w:tcPr>
          <w:p w14:paraId="545FBCFC" w14:textId="39164A7C" w:rsidR="00197D81" w:rsidRPr="005830B7" w:rsidRDefault="00197D81" w:rsidP="000A7FD5">
            <w:pPr>
              <w:rPr>
                <w:rFonts w:cstheme="minorHAnsi"/>
                <w:sz w:val="24"/>
                <w:szCs w:val="24"/>
              </w:rPr>
            </w:pPr>
            <w:r w:rsidRPr="005830B7">
              <w:rPr>
                <w:rFonts w:cstheme="minorHAnsi"/>
                <w:sz w:val="24"/>
                <w:szCs w:val="24"/>
              </w:rPr>
              <w:t>4.4.4</w:t>
            </w:r>
          </w:p>
        </w:tc>
        <w:tc>
          <w:tcPr>
            <w:tcW w:w="3415" w:type="dxa"/>
          </w:tcPr>
          <w:p w14:paraId="77E1F539" w14:textId="6CB1D187" w:rsidR="00197D81" w:rsidRPr="005830B7" w:rsidRDefault="00197D81" w:rsidP="000A7FD5">
            <w:pPr>
              <w:rPr>
                <w:rFonts w:cstheme="minorHAnsi"/>
                <w:sz w:val="24"/>
                <w:szCs w:val="24"/>
              </w:rPr>
            </w:pPr>
            <w:r w:rsidRPr="005830B7">
              <w:rPr>
                <w:rFonts w:cstheme="minorHAnsi"/>
                <w:sz w:val="24"/>
                <w:szCs w:val="24"/>
              </w:rPr>
              <w:t>October 1, 2024</w:t>
            </w:r>
          </w:p>
        </w:tc>
      </w:tr>
      <w:tr w:rsidR="00197D81" w:rsidRPr="005830B7" w14:paraId="19CAE7BF" w14:textId="77777777" w:rsidTr="000A7FD5">
        <w:tc>
          <w:tcPr>
            <w:tcW w:w="3595" w:type="dxa"/>
          </w:tcPr>
          <w:p w14:paraId="344D04E0" w14:textId="6C4A17C3" w:rsidR="00197D81" w:rsidRPr="005830B7" w:rsidRDefault="00197D81" w:rsidP="000A7FD5">
            <w:pPr>
              <w:rPr>
                <w:rFonts w:cstheme="minorHAnsi"/>
                <w:sz w:val="24"/>
                <w:szCs w:val="24"/>
              </w:rPr>
            </w:pPr>
            <w:r w:rsidRPr="005830B7">
              <w:rPr>
                <w:rFonts w:cstheme="minorHAnsi"/>
                <w:sz w:val="24"/>
                <w:szCs w:val="24"/>
              </w:rPr>
              <w:t>SOC 2 Type II Audit Report</w:t>
            </w:r>
          </w:p>
        </w:tc>
        <w:tc>
          <w:tcPr>
            <w:tcW w:w="2340" w:type="dxa"/>
          </w:tcPr>
          <w:p w14:paraId="09C0DB52" w14:textId="459341C8" w:rsidR="00197D81" w:rsidRPr="005830B7" w:rsidRDefault="00197D81" w:rsidP="000A7FD5">
            <w:pPr>
              <w:rPr>
                <w:rFonts w:cstheme="minorHAnsi"/>
                <w:sz w:val="24"/>
                <w:szCs w:val="24"/>
              </w:rPr>
            </w:pPr>
            <w:r w:rsidRPr="005830B7">
              <w:rPr>
                <w:rFonts w:cstheme="minorHAnsi"/>
                <w:sz w:val="24"/>
                <w:szCs w:val="24"/>
              </w:rPr>
              <w:t>4.6.1</w:t>
            </w:r>
          </w:p>
        </w:tc>
        <w:tc>
          <w:tcPr>
            <w:tcW w:w="3415" w:type="dxa"/>
          </w:tcPr>
          <w:p w14:paraId="46AA9961" w14:textId="682DFB85" w:rsidR="00197D81" w:rsidRPr="005830B7" w:rsidRDefault="00197D81" w:rsidP="000A7FD5">
            <w:pPr>
              <w:rPr>
                <w:rFonts w:cstheme="minorHAnsi"/>
                <w:sz w:val="24"/>
                <w:szCs w:val="24"/>
              </w:rPr>
            </w:pPr>
            <w:r w:rsidRPr="005830B7">
              <w:rPr>
                <w:rFonts w:cstheme="minorHAnsi"/>
                <w:sz w:val="24"/>
                <w:szCs w:val="24"/>
              </w:rPr>
              <w:t>December 1; annually</w:t>
            </w:r>
          </w:p>
        </w:tc>
      </w:tr>
      <w:tr w:rsidR="00197D81" w:rsidRPr="005830B7" w14:paraId="24577DA7" w14:textId="77777777" w:rsidTr="000A7FD5">
        <w:tc>
          <w:tcPr>
            <w:tcW w:w="3595" w:type="dxa"/>
          </w:tcPr>
          <w:p w14:paraId="20617C97" w14:textId="6336250E" w:rsidR="00197D81" w:rsidRPr="005830B7" w:rsidRDefault="00197D81" w:rsidP="000A7FD5">
            <w:pPr>
              <w:rPr>
                <w:rFonts w:cstheme="minorHAnsi"/>
                <w:sz w:val="24"/>
                <w:szCs w:val="24"/>
              </w:rPr>
            </w:pPr>
            <w:r w:rsidRPr="005830B7">
              <w:rPr>
                <w:rFonts w:cstheme="minorHAnsi"/>
                <w:sz w:val="24"/>
                <w:szCs w:val="24"/>
              </w:rPr>
              <w:t>System Security Assessment Report or HITRUST certification</w:t>
            </w:r>
          </w:p>
        </w:tc>
        <w:tc>
          <w:tcPr>
            <w:tcW w:w="2340" w:type="dxa"/>
          </w:tcPr>
          <w:p w14:paraId="56F56CEA" w14:textId="0418ABF9" w:rsidR="00197D81" w:rsidRPr="005830B7" w:rsidRDefault="00197D81" w:rsidP="000A7FD5">
            <w:pPr>
              <w:rPr>
                <w:rFonts w:cstheme="minorHAnsi"/>
                <w:sz w:val="24"/>
                <w:szCs w:val="24"/>
              </w:rPr>
            </w:pPr>
            <w:r w:rsidRPr="005830B7">
              <w:rPr>
                <w:rFonts w:cstheme="minorHAnsi"/>
                <w:sz w:val="24"/>
                <w:szCs w:val="24"/>
              </w:rPr>
              <w:t>4.6.2</w:t>
            </w:r>
          </w:p>
        </w:tc>
        <w:tc>
          <w:tcPr>
            <w:tcW w:w="3415" w:type="dxa"/>
          </w:tcPr>
          <w:p w14:paraId="20602AD2" w14:textId="2E486E06" w:rsidR="00197D81" w:rsidRPr="005830B7" w:rsidRDefault="00197D81" w:rsidP="000A7FD5">
            <w:pPr>
              <w:rPr>
                <w:rFonts w:cstheme="minorHAnsi"/>
                <w:sz w:val="24"/>
                <w:szCs w:val="24"/>
              </w:rPr>
            </w:pPr>
            <w:r w:rsidRPr="005830B7">
              <w:rPr>
                <w:rFonts w:cstheme="minorHAnsi"/>
                <w:sz w:val="24"/>
                <w:szCs w:val="24"/>
              </w:rPr>
              <w:t xml:space="preserve">December 1; </w:t>
            </w:r>
            <w:r w:rsidR="00355490">
              <w:rPr>
                <w:rFonts w:cstheme="minorHAnsi"/>
                <w:sz w:val="24"/>
                <w:szCs w:val="24"/>
              </w:rPr>
              <w:t>every three years</w:t>
            </w:r>
          </w:p>
        </w:tc>
      </w:tr>
      <w:tr w:rsidR="00197D81" w:rsidRPr="005830B7" w14:paraId="3EFC9DEC" w14:textId="77777777" w:rsidTr="000A7FD5">
        <w:tc>
          <w:tcPr>
            <w:tcW w:w="3595" w:type="dxa"/>
          </w:tcPr>
          <w:p w14:paraId="709121F0" w14:textId="161C914E" w:rsidR="00197D81" w:rsidRPr="005830B7" w:rsidRDefault="00197D81" w:rsidP="000A7FD5">
            <w:pPr>
              <w:rPr>
                <w:rFonts w:cstheme="minorHAnsi"/>
                <w:sz w:val="24"/>
                <w:szCs w:val="24"/>
              </w:rPr>
            </w:pPr>
            <w:r w:rsidRPr="005830B7">
              <w:rPr>
                <w:rFonts w:cstheme="minorHAnsi"/>
                <w:sz w:val="24"/>
                <w:szCs w:val="24"/>
              </w:rPr>
              <w:t>Continuity of Operations Plan</w:t>
            </w:r>
          </w:p>
        </w:tc>
        <w:tc>
          <w:tcPr>
            <w:tcW w:w="2340" w:type="dxa"/>
          </w:tcPr>
          <w:p w14:paraId="0ACFEBA0" w14:textId="46E7CDD1" w:rsidR="00197D81" w:rsidRPr="005830B7" w:rsidRDefault="00197D81" w:rsidP="000A7FD5">
            <w:pPr>
              <w:rPr>
                <w:rFonts w:cstheme="minorHAnsi"/>
                <w:sz w:val="24"/>
                <w:szCs w:val="24"/>
              </w:rPr>
            </w:pPr>
            <w:r w:rsidRPr="005830B7">
              <w:rPr>
                <w:rFonts w:cstheme="minorHAnsi"/>
                <w:sz w:val="24"/>
                <w:szCs w:val="24"/>
              </w:rPr>
              <w:t>4.8</w:t>
            </w:r>
          </w:p>
        </w:tc>
        <w:tc>
          <w:tcPr>
            <w:tcW w:w="3415" w:type="dxa"/>
          </w:tcPr>
          <w:p w14:paraId="658F2147" w14:textId="157FA714" w:rsidR="00197D81" w:rsidRPr="005830B7" w:rsidRDefault="00197D81" w:rsidP="000A7FD5">
            <w:pPr>
              <w:rPr>
                <w:rFonts w:cstheme="minorHAnsi"/>
                <w:sz w:val="24"/>
                <w:szCs w:val="24"/>
              </w:rPr>
            </w:pPr>
            <w:r w:rsidRPr="005830B7">
              <w:rPr>
                <w:rFonts w:cstheme="minorHAnsi"/>
                <w:sz w:val="24"/>
                <w:szCs w:val="24"/>
              </w:rPr>
              <w:t>January 1; annually</w:t>
            </w:r>
          </w:p>
        </w:tc>
      </w:tr>
      <w:tr w:rsidR="00197D81" w:rsidRPr="005830B7" w14:paraId="3C78DB0F" w14:textId="77777777" w:rsidTr="000A7FD5">
        <w:tc>
          <w:tcPr>
            <w:tcW w:w="3595" w:type="dxa"/>
          </w:tcPr>
          <w:p w14:paraId="1C56E2D6" w14:textId="536B8ABE" w:rsidR="00197D81" w:rsidRPr="005830B7" w:rsidRDefault="003952CF" w:rsidP="000A7FD5">
            <w:pPr>
              <w:rPr>
                <w:rFonts w:cstheme="minorHAnsi"/>
                <w:sz w:val="24"/>
                <w:szCs w:val="24"/>
              </w:rPr>
            </w:pPr>
            <w:r w:rsidRPr="005830B7">
              <w:rPr>
                <w:rFonts w:cstheme="minorHAnsi"/>
                <w:sz w:val="24"/>
                <w:szCs w:val="24"/>
              </w:rPr>
              <w:t>Proof of Insurance Coverage</w:t>
            </w:r>
            <w:r w:rsidR="00197D81" w:rsidRPr="005830B7">
              <w:rPr>
                <w:rFonts w:cstheme="minorHAnsi"/>
                <w:sz w:val="24"/>
                <w:szCs w:val="24"/>
              </w:rPr>
              <w:t xml:space="preserve"> </w:t>
            </w:r>
          </w:p>
        </w:tc>
        <w:tc>
          <w:tcPr>
            <w:tcW w:w="2340" w:type="dxa"/>
          </w:tcPr>
          <w:p w14:paraId="4C48DA46" w14:textId="74B3FF35" w:rsidR="00197D81" w:rsidRPr="005830B7" w:rsidRDefault="00197D81" w:rsidP="000A7FD5">
            <w:pPr>
              <w:rPr>
                <w:rFonts w:cstheme="minorHAnsi"/>
                <w:sz w:val="24"/>
                <w:szCs w:val="24"/>
              </w:rPr>
            </w:pPr>
            <w:r w:rsidRPr="005830B7">
              <w:rPr>
                <w:rFonts w:cstheme="minorHAnsi"/>
                <w:sz w:val="24"/>
                <w:szCs w:val="24"/>
              </w:rPr>
              <w:t>5</w:t>
            </w:r>
          </w:p>
        </w:tc>
        <w:tc>
          <w:tcPr>
            <w:tcW w:w="3415" w:type="dxa"/>
          </w:tcPr>
          <w:p w14:paraId="21EA818E" w14:textId="3D7A3E68" w:rsidR="00197D81" w:rsidRPr="005830B7" w:rsidRDefault="00197D81" w:rsidP="000A7FD5">
            <w:pPr>
              <w:rPr>
                <w:rFonts w:cstheme="minorHAnsi"/>
                <w:sz w:val="24"/>
                <w:szCs w:val="24"/>
              </w:rPr>
            </w:pPr>
            <w:r w:rsidRPr="005830B7">
              <w:rPr>
                <w:rFonts w:cstheme="minorHAnsi"/>
                <w:sz w:val="24"/>
                <w:szCs w:val="24"/>
              </w:rPr>
              <w:t xml:space="preserve">Within 10 Business Days of Contract execution; Annually by </w:t>
            </w:r>
            <w:r w:rsidRPr="005830B7">
              <w:rPr>
                <w:rFonts w:cstheme="minorHAnsi"/>
                <w:sz w:val="24"/>
                <w:szCs w:val="24"/>
              </w:rPr>
              <w:lastRenderedPageBreak/>
              <w:t>December 31 or by the insurance expiration date</w:t>
            </w:r>
          </w:p>
        </w:tc>
      </w:tr>
      <w:tr w:rsidR="003952CF" w:rsidRPr="005830B7" w14:paraId="1D2ED927" w14:textId="77777777" w:rsidTr="000A7FD5">
        <w:tc>
          <w:tcPr>
            <w:tcW w:w="3595" w:type="dxa"/>
          </w:tcPr>
          <w:p w14:paraId="7789C778" w14:textId="57889A83" w:rsidR="003952CF" w:rsidRPr="005830B7" w:rsidRDefault="003952CF" w:rsidP="000A7FD5">
            <w:pPr>
              <w:rPr>
                <w:rFonts w:cstheme="minorHAnsi"/>
                <w:sz w:val="24"/>
                <w:szCs w:val="24"/>
              </w:rPr>
            </w:pPr>
            <w:r w:rsidRPr="005830B7">
              <w:rPr>
                <w:rFonts w:cstheme="minorHAnsi"/>
                <w:sz w:val="24"/>
                <w:szCs w:val="24"/>
              </w:rPr>
              <w:lastRenderedPageBreak/>
              <w:t>Commercial Crime Insurance</w:t>
            </w:r>
          </w:p>
        </w:tc>
        <w:tc>
          <w:tcPr>
            <w:tcW w:w="2340" w:type="dxa"/>
          </w:tcPr>
          <w:p w14:paraId="7BB64D89" w14:textId="54FC20B6" w:rsidR="003952CF" w:rsidRPr="005830B7" w:rsidRDefault="003952CF" w:rsidP="000A7FD5">
            <w:pPr>
              <w:rPr>
                <w:rFonts w:cstheme="minorHAnsi"/>
                <w:sz w:val="24"/>
                <w:szCs w:val="24"/>
              </w:rPr>
            </w:pPr>
            <w:r w:rsidRPr="005830B7">
              <w:rPr>
                <w:rFonts w:cstheme="minorHAnsi"/>
                <w:sz w:val="24"/>
                <w:szCs w:val="24"/>
              </w:rPr>
              <w:t>5.6</w:t>
            </w:r>
          </w:p>
        </w:tc>
        <w:tc>
          <w:tcPr>
            <w:tcW w:w="3415" w:type="dxa"/>
          </w:tcPr>
          <w:p w14:paraId="1BC98638" w14:textId="4AFFC125" w:rsidR="003952CF" w:rsidRPr="005830B7" w:rsidRDefault="003952CF" w:rsidP="000A7FD5">
            <w:pPr>
              <w:rPr>
                <w:rFonts w:cstheme="minorHAnsi"/>
                <w:sz w:val="24"/>
                <w:szCs w:val="24"/>
              </w:rPr>
            </w:pPr>
            <w:r w:rsidRPr="005830B7">
              <w:rPr>
                <w:rFonts w:cstheme="minorHAnsi"/>
                <w:sz w:val="24"/>
                <w:szCs w:val="24"/>
              </w:rPr>
              <w:t>Within 15 Business Days of Contract execution</w:t>
            </w:r>
          </w:p>
        </w:tc>
      </w:tr>
      <w:tr w:rsidR="003952CF" w:rsidRPr="005830B7" w14:paraId="5E9E7BDE" w14:textId="77777777" w:rsidTr="000A7FD5">
        <w:tc>
          <w:tcPr>
            <w:tcW w:w="3595" w:type="dxa"/>
          </w:tcPr>
          <w:p w14:paraId="46745A58" w14:textId="27C5170A" w:rsidR="003952CF" w:rsidRPr="005830B7" w:rsidRDefault="003952CF" w:rsidP="000A7FD5">
            <w:pPr>
              <w:rPr>
                <w:rFonts w:cstheme="minorHAnsi"/>
                <w:sz w:val="24"/>
                <w:szCs w:val="24"/>
              </w:rPr>
            </w:pPr>
            <w:r w:rsidRPr="005830B7">
              <w:rPr>
                <w:rFonts w:cstheme="minorHAnsi"/>
                <w:sz w:val="24"/>
                <w:szCs w:val="24"/>
              </w:rPr>
              <w:t>Background Screening Attestation</w:t>
            </w:r>
          </w:p>
        </w:tc>
        <w:tc>
          <w:tcPr>
            <w:tcW w:w="2340" w:type="dxa"/>
          </w:tcPr>
          <w:p w14:paraId="78BABE47" w14:textId="58212F98" w:rsidR="003952CF" w:rsidRPr="005830B7" w:rsidRDefault="003952CF" w:rsidP="000A7FD5">
            <w:pPr>
              <w:rPr>
                <w:rFonts w:cstheme="minorHAnsi"/>
                <w:sz w:val="24"/>
                <w:szCs w:val="24"/>
              </w:rPr>
            </w:pPr>
            <w:r w:rsidRPr="005830B7">
              <w:rPr>
                <w:rFonts w:cstheme="minorHAnsi"/>
                <w:sz w:val="24"/>
                <w:szCs w:val="24"/>
              </w:rPr>
              <w:t>6.2.1</w:t>
            </w:r>
          </w:p>
        </w:tc>
        <w:tc>
          <w:tcPr>
            <w:tcW w:w="3415" w:type="dxa"/>
          </w:tcPr>
          <w:p w14:paraId="2F22A19B" w14:textId="1073C779" w:rsidR="003952CF" w:rsidRPr="005830B7" w:rsidRDefault="003952CF" w:rsidP="000A7FD5">
            <w:pPr>
              <w:rPr>
                <w:rFonts w:cstheme="minorHAnsi"/>
                <w:sz w:val="24"/>
                <w:szCs w:val="24"/>
              </w:rPr>
            </w:pPr>
            <w:r w:rsidRPr="005830B7">
              <w:rPr>
                <w:rFonts w:cstheme="minorHAnsi"/>
                <w:sz w:val="24"/>
                <w:szCs w:val="24"/>
              </w:rPr>
              <w:t>December 1; annually</w:t>
            </w:r>
          </w:p>
        </w:tc>
      </w:tr>
      <w:tr w:rsidR="003952CF" w:rsidRPr="005830B7" w14:paraId="3348A27C" w14:textId="77777777" w:rsidTr="000A7FD5">
        <w:tc>
          <w:tcPr>
            <w:tcW w:w="3595" w:type="dxa"/>
          </w:tcPr>
          <w:p w14:paraId="1D8C629B" w14:textId="75DB4FEC" w:rsidR="003952CF" w:rsidRPr="005830B7" w:rsidRDefault="003952CF" w:rsidP="000A7FD5">
            <w:pPr>
              <w:rPr>
                <w:rFonts w:cstheme="minorHAnsi"/>
                <w:sz w:val="24"/>
                <w:szCs w:val="24"/>
              </w:rPr>
            </w:pPr>
            <w:r w:rsidRPr="005830B7">
              <w:rPr>
                <w:rFonts w:cstheme="minorHAnsi"/>
                <w:sz w:val="24"/>
                <w:szCs w:val="24"/>
              </w:rPr>
              <w:t>System Security Plan</w:t>
            </w:r>
          </w:p>
        </w:tc>
        <w:tc>
          <w:tcPr>
            <w:tcW w:w="2340" w:type="dxa"/>
          </w:tcPr>
          <w:p w14:paraId="2DAF83D1" w14:textId="01D4F4A1" w:rsidR="003952CF" w:rsidRPr="005830B7" w:rsidRDefault="003952CF" w:rsidP="000A7FD5">
            <w:pPr>
              <w:rPr>
                <w:rFonts w:cstheme="minorHAnsi"/>
                <w:sz w:val="24"/>
                <w:szCs w:val="24"/>
              </w:rPr>
            </w:pPr>
            <w:r w:rsidRPr="005830B7">
              <w:rPr>
                <w:rFonts w:cstheme="minorHAnsi"/>
                <w:sz w:val="24"/>
                <w:szCs w:val="24"/>
              </w:rPr>
              <w:t>6.3.1; 6.3.3</w:t>
            </w:r>
          </w:p>
        </w:tc>
        <w:tc>
          <w:tcPr>
            <w:tcW w:w="3415" w:type="dxa"/>
          </w:tcPr>
          <w:p w14:paraId="4160A28C" w14:textId="431FEC32" w:rsidR="003952CF" w:rsidRPr="005830B7" w:rsidRDefault="00062F43" w:rsidP="000A7FD5">
            <w:pPr>
              <w:rPr>
                <w:rFonts w:cstheme="minorHAnsi"/>
                <w:sz w:val="24"/>
                <w:szCs w:val="24"/>
              </w:rPr>
            </w:pPr>
            <w:r>
              <w:rPr>
                <w:rFonts w:cstheme="minorHAnsi"/>
                <w:sz w:val="24"/>
                <w:szCs w:val="24"/>
              </w:rPr>
              <w:t xml:space="preserve">Draft due within 30 Calendar Days of Contract execution; final due </w:t>
            </w:r>
            <w:r w:rsidR="009C6B19">
              <w:rPr>
                <w:rFonts w:cstheme="minorHAnsi"/>
                <w:sz w:val="24"/>
                <w:szCs w:val="24"/>
              </w:rPr>
              <w:t>10 Calendar Days after submission of draft;</w:t>
            </w:r>
            <w:r w:rsidR="003952CF" w:rsidRPr="005830B7">
              <w:rPr>
                <w:rFonts w:cstheme="minorHAnsi"/>
                <w:sz w:val="24"/>
                <w:szCs w:val="24"/>
              </w:rPr>
              <w:t xml:space="preserve"> annually by February 1 beginning in 2025</w:t>
            </w:r>
          </w:p>
        </w:tc>
      </w:tr>
      <w:tr w:rsidR="003952CF" w:rsidRPr="005830B7" w14:paraId="3657847F" w14:textId="77777777" w:rsidTr="000A7FD5">
        <w:tc>
          <w:tcPr>
            <w:tcW w:w="3595" w:type="dxa"/>
          </w:tcPr>
          <w:p w14:paraId="7C6BD2AF" w14:textId="0BB96B45" w:rsidR="003952CF" w:rsidRPr="005830B7" w:rsidRDefault="003952CF" w:rsidP="000A7FD5">
            <w:pPr>
              <w:rPr>
                <w:rFonts w:cstheme="minorHAnsi"/>
                <w:sz w:val="24"/>
                <w:szCs w:val="24"/>
              </w:rPr>
            </w:pPr>
            <w:r w:rsidRPr="005830B7">
              <w:rPr>
                <w:rFonts w:cstheme="minorHAnsi"/>
                <w:sz w:val="24"/>
                <w:szCs w:val="24"/>
              </w:rPr>
              <w:t>System Security Plan Attestation</w:t>
            </w:r>
          </w:p>
        </w:tc>
        <w:tc>
          <w:tcPr>
            <w:tcW w:w="2340" w:type="dxa"/>
          </w:tcPr>
          <w:p w14:paraId="4F7E8AF8" w14:textId="16A52D85" w:rsidR="003952CF" w:rsidRPr="005830B7" w:rsidRDefault="003952CF" w:rsidP="000A7FD5">
            <w:pPr>
              <w:rPr>
                <w:rFonts w:cstheme="minorHAnsi"/>
                <w:sz w:val="24"/>
                <w:szCs w:val="24"/>
              </w:rPr>
            </w:pPr>
            <w:r w:rsidRPr="005830B7">
              <w:rPr>
                <w:rFonts w:cstheme="minorHAnsi"/>
                <w:sz w:val="24"/>
                <w:szCs w:val="24"/>
              </w:rPr>
              <w:t>6.3.1</w:t>
            </w:r>
          </w:p>
        </w:tc>
        <w:tc>
          <w:tcPr>
            <w:tcW w:w="3415" w:type="dxa"/>
          </w:tcPr>
          <w:p w14:paraId="44A62EA0" w14:textId="428FAF00" w:rsidR="003952CF" w:rsidRPr="005830B7" w:rsidRDefault="003952CF" w:rsidP="000A7FD5">
            <w:pPr>
              <w:rPr>
                <w:rFonts w:cstheme="minorHAnsi"/>
                <w:sz w:val="24"/>
                <w:szCs w:val="24"/>
              </w:rPr>
            </w:pPr>
            <w:r w:rsidRPr="005830B7">
              <w:rPr>
                <w:rFonts w:cstheme="minorHAnsi"/>
                <w:sz w:val="24"/>
                <w:szCs w:val="24"/>
              </w:rPr>
              <w:t>December 1; annually</w:t>
            </w:r>
          </w:p>
        </w:tc>
      </w:tr>
      <w:tr w:rsidR="003952CF" w:rsidRPr="005830B7" w14:paraId="1B66B474" w14:textId="77777777" w:rsidTr="000A7FD5">
        <w:tc>
          <w:tcPr>
            <w:tcW w:w="3595" w:type="dxa"/>
          </w:tcPr>
          <w:p w14:paraId="1FF813B7" w14:textId="004155E9" w:rsidR="003952CF" w:rsidRPr="005830B7" w:rsidRDefault="003952CF" w:rsidP="000A7FD5">
            <w:pPr>
              <w:rPr>
                <w:rFonts w:cstheme="minorHAnsi"/>
                <w:sz w:val="24"/>
                <w:szCs w:val="24"/>
              </w:rPr>
            </w:pPr>
            <w:r w:rsidRPr="005830B7">
              <w:rPr>
                <w:rFonts w:cstheme="minorHAnsi"/>
                <w:sz w:val="24"/>
                <w:szCs w:val="24"/>
              </w:rPr>
              <w:t>Audited Financial Statements</w:t>
            </w:r>
          </w:p>
        </w:tc>
        <w:tc>
          <w:tcPr>
            <w:tcW w:w="2340" w:type="dxa"/>
          </w:tcPr>
          <w:p w14:paraId="0B191E1D" w14:textId="1ADCF868" w:rsidR="003952CF" w:rsidRPr="005830B7" w:rsidRDefault="003952CF" w:rsidP="000A7FD5">
            <w:pPr>
              <w:rPr>
                <w:rFonts w:cstheme="minorHAnsi"/>
                <w:sz w:val="24"/>
                <w:szCs w:val="24"/>
              </w:rPr>
            </w:pPr>
            <w:r w:rsidRPr="005830B7">
              <w:rPr>
                <w:rFonts w:cstheme="minorHAnsi"/>
                <w:sz w:val="24"/>
                <w:szCs w:val="24"/>
              </w:rPr>
              <w:t>10.5</w:t>
            </w:r>
          </w:p>
        </w:tc>
        <w:tc>
          <w:tcPr>
            <w:tcW w:w="3415" w:type="dxa"/>
          </w:tcPr>
          <w:p w14:paraId="5DA4EEB6" w14:textId="78DE1B2F" w:rsidR="003952CF" w:rsidRPr="005830B7" w:rsidRDefault="003952CF" w:rsidP="000A7FD5">
            <w:pPr>
              <w:rPr>
                <w:rFonts w:cstheme="minorHAnsi"/>
                <w:sz w:val="24"/>
                <w:szCs w:val="24"/>
              </w:rPr>
            </w:pPr>
            <w:r w:rsidRPr="005830B7">
              <w:rPr>
                <w:rFonts w:cstheme="minorHAnsi"/>
                <w:sz w:val="24"/>
                <w:szCs w:val="24"/>
              </w:rPr>
              <w:t>July 1; annually</w:t>
            </w:r>
          </w:p>
        </w:tc>
      </w:tr>
      <w:tr w:rsidR="003952CF" w:rsidRPr="005830B7" w14:paraId="5941C328" w14:textId="77777777" w:rsidTr="000A7FD5">
        <w:tc>
          <w:tcPr>
            <w:tcW w:w="3595" w:type="dxa"/>
          </w:tcPr>
          <w:p w14:paraId="72C5E127" w14:textId="2EBD0F25" w:rsidR="003952CF" w:rsidRPr="005830B7" w:rsidRDefault="003952CF" w:rsidP="000A7FD5">
            <w:pPr>
              <w:rPr>
                <w:rFonts w:cstheme="minorHAnsi"/>
                <w:sz w:val="24"/>
                <w:szCs w:val="24"/>
              </w:rPr>
            </w:pPr>
            <w:r w:rsidRPr="005830B7">
              <w:rPr>
                <w:rFonts w:cstheme="minorHAnsi"/>
                <w:sz w:val="24"/>
                <w:szCs w:val="24"/>
              </w:rPr>
              <w:t>Conflict of Interest Disclosure</w:t>
            </w:r>
          </w:p>
        </w:tc>
        <w:tc>
          <w:tcPr>
            <w:tcW w:w="2340" w:type="dxa"/>
          </w:tcPr>
          <w:p w14:paraId="2C5B83C3" w14:textId="79490ACA" w:rsidR="003952CF" w:rsidRPr="005830B7" w:rsidRDefault="003952CF" w:rsidP="000A7FD5">
            <w:pPr>
              <w:rPr>
                <w:rFonts w:cstheme="minorHAnsi"/>
                <w:sz w:val="24"/>
                <w:szCs w:val="24"/>
              </w:rPr>
            </w:pPr>
            <w:r w:rsidRPr="005830B7">
              <w:rPr>
                <w:rFonts w:cstheme="minorHAnsi"/>
                <w:sz w:val="24"/>
                <w:szCs w:val="24"/>
              </w:rPr>
              <w:t>10.9</w:t>
            </w:r>
          </w:p>
        </w:tc>
        <w:tc>
          <w:tcPr>
            <w:tcW w:w="3415" w:type="dxa"/>
          </w:tcPr>
          <w:p w14:paraId="4DDAAD93" w14:textId="0CA4AE0A" w:rsidR="003952CF" w:rsidRPr="005830B7" w:rsidRDefault="005830B7" w:rsidP="000A7FD5">
            <w:pPr>
              <w:rPr>
                <w:rFonts w:cstheme="minorHAnsi"/>
                <w:sz w:val="24"/>
                <w:szCs w:val="24"/>
              </w:rPr>
            </w:pPr>
            <w:r w:rsidRPr="005830B7">
              <w:rPr>
                <w:rFonts w:cstheme="minorHAnsi"/>
                <w:sz w:val="24"/>
                <w:szCs w:val="24"/>
              </w:rPr>
              <w:t>Within 5 Business Days of Contract execution; January 15; annually; or within 10 Business Days after becoming aware of any potential conflicts of interest</w:t>
            </w:r>
          </w:p>
        </w:tc>
      </w:tr>
      <w:tr w:rsidR="005830B7" w:rsidRPr="005830B7" w14:paraId="2AC2BF29" w14:textId="77777777" w:rsidTr="000A7FD5">
        <w:tc>
          <w:tcPr>
            <w:tcW w:w="3595" w:type="dxa"/>
          </w:tcPr>
          <w:p w14:paraId="282C2852" w14:textId="07202E87" w:rsidR="005830B7" w:rsidRPr="005830B7" w:rsidRDefault="005830B7" w:rsidP="000A7FD5">
            <w:pPr>
              <w:rPr>
                <w:rFonts w:cstheme="minorHAnsi"/>
                <w:sz w:val="24"/>
                <w:szCs w:val="24"/>
              </w:rPr>
            </w:pPr>
            <w:r w:rsidRPr="005830B7">
              <w:rPr>
                <w:rFonts w:cstheme="minorHAnsi"/>
                <w:sz w:val="24"/>
                <w:szCs w:val="24"/>
              </w:rPr>
              <w:t>Lobbying Disclosure</w:t>
            </w:r>
          </w:p>
        </w:tc>
        <w:tc>
          <w:tcPr>
            <w:tcW w:w="2340" w:type="dxa"/>
          </w:tcPr>
          <w:p w14:paraId="41138EEE" w14:textId="370178B8" w:rsidR="005830B7" w:rsidRPr="005830B7" w:rsidRDefault="005830B7" w:rsidP="000A7FD5">
            <w:pPr>
              <w:rPr>
                <w:rFonts w:cstheme="minorHAnsi"/>
                <w:sz w:val="24"/>
                <w:szCs w:val="24"/>
              </w:rPr>
            </w:pPr>
            <w:r w:rsidRPr="005830B7">
              <w:rPr>
                <w:rFonts w:cstheme="minorHAnsi"/>
                <w:sz w:val="24"/>
                <w:szCs w:val="24"/>
              </w:rPr>
              <w:t>10.26</w:t>
            </w:r>
          </w:p>
        </w:tc>
        <w:tc>
          <w:tcPr>
            <w:tcW w:w="3415" w:type="dxa"/>
          </w:tcPr>
          <w:p w14:paraId="265F22B2" w14:textId="3A3D5245" w:rsidR="005830B7" w:rsidRPr="005830B7" w:rsidRDefault="005830B7" w:rsidP="000A7FD5">
            <w:pPr>
              <w:rPr>
                <w:rFonts w:cstheme="minorHAnsi"/>
                <w:sz w:val="24"/>
                <w:szCs w:val="24"/>
              </w:rPr>
            </w:pPr>
            <w:r w:rsidRPr="005830B7">
              <w:rPr>
                <w:rFonts w:cstheme="minorHAnsi"/>
                <w:sz w:val="24"/>
                <w:szCs w:val="24"/>
              </w:rPr>
              <w:t>Upon Contract execution; January 15; annually</w:t>
            </w:r>
          </w:p>
        </w:tc>
      </w:tr>
      <w:tr w:rsidR="005830B7" w:rsidRPr="005830B7" w14:paraId="11040986" w14:textId="77777777" w:rsidTr="000A7FD5">
        <w:tc>
          <w:tcPr>
            <w:tcW w:w="3595" w:type="dxa"/>
          </w:tcPr>
          <w:p w14:paraId="304DA2F2" w14:textId="5E70DF73" w:rsidR="005830B7" w:rsidRPr="005830B7" w:rsidRDefault="005830B7" w:rsidP="000A7FD5">
            <w:pPr>
              <w:rPr>
                <w:rFonts w:cstheme="minorHAnsi"/>
                <w:sz w:val="24"/>
                <w:szCs w:val="24"/>
              </w:rPr>
            </w:pPr>
            <w:r w:rsidRPr="005830B7">
              <w:rPr>
                <w:rFonts w:cstheme="minorHAnsi"/>
                <w:sz w:val="24"/>
                <w:szCs w:val="24"/>
              </w:rPr>
              <w:t>Affidavit of Compliance</w:t>
            </w:r>
          </w:p>
        </w:tc>
        <w:tc>
          <w:tcPr>
            <w:tcW w:w="2340" w:type="dxa"/>
          </w:tcPr>
          <w:p w14:paraId="2D70DB95" w14:textId="3F91FEEA" w:rsidR="005830B7" w:rsidRPr="005830B7" w:rsidRDefault="005830B7" w:rsidP="000A7FD5">
            <w:pPr>
              <w:rPr>
                <w:rFonts w:cstheme="minorHAnsi"/>
                <w:sz w:val="24"/>
                <w:szCs w:val="24"/>
              </w:rPr>
            </w:pPr>
            <w:r w:rsidRPr="005830B7">
              <w:rPr>
                <w:rFonts w:cstheme="minorHAnsi"/>
                <w:sz w:val="24"/>
                <w:szCs w:val="24"/>
              </w:rPr>
              <w:t>10.31</w:t>
            </w:r>
          </w:p>
        </w:tc>
        <w:tc>
          <w:tcPr>
            <w:tcW w:w="3415" w:type="dxa"/>
          </w:tcPr>
          <w:p w14:paraId="5DA4A969" w14:textId="53B312C0" w:rsidR="005830B7" w:rsidRPr="005830B7" w:rsidRDefault="005830B7" w:rsidP="000A7FD5">
            <w:pPr>
              <w:rPr>
                <w:rFonts w:cstheme="minorHAnsi"/>
                <w:sz w:val="24"/>
                <w:szCs w:val="24"/>
              </w:rPr>
            </w:pPr>
            <w:r w:rsidRPr="005830B7">
              <w:rPr>
                <w:rFonts w:cstheme="minorHAnsi"/>
                <w:sz w:val="24"/>
                <w:szCs w:val="24"/>
              </w:rPr>
              <w:t>December 1; annually</w:t>
            </w:r>
          </w:p>
        </w:tc>
      </w:tr>
    </w:tbl>
    <w:p w14:paraId="46C0B474" w14:textId="77777777" w:rsidR="003D534B" w:rsidRPr="005830B7" w:rsidRDefault="003D534B">
      <w:pPr>
        <w:rPr>
          <w:rFonts w:cstheme="minorHAnsi"/>
          <w:sz w:val="24"/>
          <w:szCs w:val="24"/>
        </w:rPr>
      </w:pPr>
    </w:p>
    <w:sectPr w:rsidR="003D534B" w:rsidRPr="005830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53A0" w14:textId="77777777" w:rsidR="009164D7" w:rsidRDefault="009164D7" w:rsidP="005830B7">
      <w:pPr>
        <w:spacing w:after="0" w:line="240" w:lineRule="auto"/>
      </w:pPr>
      <w:r>
        <w:separator/>
      </w:r>
    </w:p>
  </w:endnote>
  <w:endnote w:type="continuationSeparator" w:id="0">
    <w:p w14:paraId="17A1333F" w14:textId="77777777" w:rsidR="009164D7" w:rsidRDefault="009164D7" w:rsidP="0058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82C6" w14:textId="77777777" w:rsidR="005830B7" w:rsidRPr="005830B7" w:rsidRDefault="005830B7">
    <w:pPr>
      <w:pStyle w:val="Footer"/>
      <w:rPr>
        <w:sz w:val="24"/>
        <w:szCs w:val="24"/>
      </w:rPr>
    </w:pPr>
    <w:r w:rsidRPr="005830B7">
      <w:rPr>
        <w:sz w:val="24"/>
        <w:szCs w:val="24"/>
      </w:rPr>
      <w:t>2023-300-01 EQRO Contract</w:t>
    </w:r>
  </w:p>
  <w:p w14:paraId="0E99A492" w14:textId="66CECCC9" w:rsidR="005830B7" w:rsidRPr="005830B7" w:rsidRDefault="005830B7">
    <w:pPr>
      <w:pStyle w:val="Footer"/>
      <w:rPr>
        <w:sz w:val="24"/>
        <w:szCs w:val="24"/>
      </w:rPr>
    </w:pPr>
    <w:r w:rsidRPr="005830B7">
      <w:rPr>
        <w:sz w:val="24"/>
        <w:szCs w:val="24"/>
      </w:rPr>
      <w:t>Attachment A: Deliverables</w:t>
    </w:r>
    <w:r w:rsidRPr="005830B7">
      <w:rPr>
        <w:sz w:val="24"/>
        <w:szCs w:val="24"/>
      </w:rPr>
      <w:ptab w:relativeTo="margin" w:alignment="center" w:leader="none"/>
    </w:r>
    <w:r w:rsidRPr="005830B7">
      <w:rPr>
        <w:sz w:val="24"/>
        <w:szCs w:val="24"/>
      </w:rPr>
      <w:ptab w:relativeTo="margin" w:alignment="right" w:leader="none"/>
    </w:r>
    <w:r w:rsidRPr="005830B7">
      <w:rPr>
        <w:sz w:val="24"/>
        <w:szCs w:val="24"/>
      </w:rPr>
      <w:fldChar w:fldCharType="begin"/>
    </w:r>
    <w:r w:rsidRPr="005830B7">
      <w:rPr>
        <w:sz w:val="24"/>
        <w:szCs w:val="24"/>
      </w:rPr>
      <w:instrText xml:space="preserve"> PAGE   \* MERGEFORMAT </w:instrText>
    </w:r>
    <w:r w:rsidRPr="005830B7">
      <w:rPr>
        <w:sz w:val="24"/>
        <w:szCs w:val="24"/>
      </w:rPr>
      <w:fldChar w:fldCharType="separate"/>
    </w:r>
    <w:r w:rsidRPr="005830B7">
      <w:rPr>
        <w:noProof/>
        <w:sz w:val="24"/>
        <w:szCs w:val="24"/>
      </w:rPr>
      <w:t>1</w:t>
    </w:r>
    <w:r w:rsidRPr="005830B7">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EEF0" w14:textId="77777777" w:rsidR="009164D7" w:rsidRDefault="009164D7" w:rsidP="005830B7">
      <w:pPr>
        <w:spacing w:after="0" w:line="240" w:lineRule="auto"/>
      </w:pPr>
      <w:r>
        <w:separator/>
      </w:r>
    </w:p>
  </w:footnote>
  <w:footnote w:type="continuationSeparator" w:id="0">
    <w:p w14:paraId="076F43C5" w14:textId="77777777" w:rsidR="009164D7" w:rsidRDefault="009164D7" w:rsidP="005830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4B"/>
    <w:rsid w:val="00062F43"/>
    <w:rsid w:val="00117109"/>
    <w:rsid w:val="00171760"/>
    <w:rsid w:val="00197D81"/>
    <w:rsid w:val="001F4CAC"/>
    <w:rsid w:val="002861A2"/>
    <w:rsid w:val="00355490"/>
    <w:rsid w:val="003952CF"/>
    <w:rsid w:val="003D534B"/>
    <w:rsid w:val="00443068"/>
    <w:rsid w:val="005830B7"/>
    <w:rsid w:val="005C6464"/>
    <w:rsid w:val="006E555D"/>
    <w:rsid w:val="0077380D"/>
    <w:rsid w:val="0079373F"/>
    <w:rsid w:val="00894798"/>
    <w:rsid w:val="009164D7"/>
    <w:rsid w:val="009C6B19"/>
    <w:rsid w:val="00B8519D"/>
    <w:rsid w:val="00BC3A4D"/>
    <w:rsid w:val="00F3568C"/>
    <w:rsid w:val="00F975DB"/>
    <w:rsid w:val="00FB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B1DE"/>
  <w15:chartTrackingRefBased/>
  <w15:docId w15:val="{EA7B95EA-A89D-4A78-B939-D9DA0FE3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0B7"/>
  </w:style>
  <w:style w:type="paragraph" w:styleId="Footer">
    <w:name w:val="footer"/>
    <w:basedOn w:val="Normal"/>
    <w:link w:val="FooterChar"/>
    <w:uiPriority w:val="99"/>
    <w:unhideWhenUsed/>
    <w:rsid w:val="00583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6" ma:contentTypeDescription="Create a new document." ma:contentTypeScope="" ma:versionID="813cb549c11c04534658ad24abf46480">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c53e67eaa4df2ff14c0855d6fc716e3b"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7ff19a-83d1-427c-95fe-015d338da4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51eeb-7f98-4457-9447-f3bc0edb04ec}" ma:internalName="TaxCatchAll" ma:showField="CatchAllData" ma:web="7c6beee5-96e9-4dc7-8dc1-88fbaf443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6beee5-96e9-4dc7-8dc1-88fbaf44382b" xsi:nil="true"/>
    <lcf76f155ced4ddcb4097134ff3c332f xmlns="8b9ce5d0-abb6-41f5-8b79-7270062041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4A0B8C-8F00-447D-A73D-1AC87276FBBE}">
  <ds:schemaRefs>
    <ds:schemaRef ds:uri="http://schemas.microsoft.com/sharepoint/v3/contenttype/forms"/>
  </ds:schemaRefs>
</ds:datastoreItem>
</file>

<file path=customXml/itemProps2.xml><?xml version="1.0" encoding="utf-8"?>
<ds:datastoreItem xmlns:ds="http://schemas.openxmlformats.org/officeDocument/2006/customXml" ds:itemID="{9C159C3A-62FA-4413-A377-D47169C66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e5d0-abb6-41f5-8b79-7270062041bb"/>
    <ds:schemaRef ds:uri="7c6beee5-96e9-4dc7-8dc1-88fbaf44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50830-7048-49FB-8F0B-8E6214A90B47}">
  <ds:schemaRefs>
    <ds:schemaRef ds:uri="http://schemas.microsoft.com/office/2006/metadata/properties"/>
    <ds:schemaRef ds:uri="http://schemas.microsoft.com/office/infopath/2007/PartnerControls"/>
    <ds:schemaRef ds:uri="7c6beee5-96e9-4dc7-8dc1-88fbaf44382b"/>
    <ds:schemaRef ds:uri="8b9ce5d0-abb6-41f5-8b79-7270062041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1978</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Precious Boatwright</cp:lastModifiedBy>
  <cp:revision>2</cp:revision>
  <dcterms:created xsi:type="dcterms:W3CDTF">2023-02-17T17:01:00Z</dcterms:created>
  <dcterms:modified xsi:type="dcterms:W3CDTF">2023-02-17T17:01:00Z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y fmtid="{D5CDD505-2E9C-101B-9397-08002B2CF9AE}" pid="3" name="MediaServiceImageTags">
    <vt:lpwstr/>
  </property>
</Properties>
</file>