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07E9" w:rsidTr="00DD07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0"/>
            </w:tblGrid>
            <w:tr w:rsidR="00DD07E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</w:tblGrid>
                  <w:tr w:rsidR="00DD07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D07E9" w:rsidRDefault="00DD07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color w:val="E0498B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E0498B"/>
                          </w:rPr>
                          <w:drawing>
                            <wp:inline distT="0" distB="0" distL="0" distR="0" wp14:anchorId="68A7D0B0" wp14:editId="08FDD120">
                              <wp:extent cx="5613400" cy="580390"/>
                              <wp:effectExtent l="0" t="0" r="6350" b="0"/>
                              <wp:docPr id="6" name="Picture 6" descr="https://mlsvc01-prod.s3.amazonaws.com/cd7341c6201/13695b4e-bab2-42c5-925b-e044eb131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lsvc01-prod.s3.amazonaws.com/cd7341c6201/13695b4e-bab2-42c5-925b-e044eb13120f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3400" cy="580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D07E9" w:rsidRDefault="00DD07E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</w:tblGrid>
                  <w:tr w:rsidR="00DD07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D07E9" w:rsidRDefault="00DD07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07E9" w:rsidRDefault="00DD07E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</w:tblGrid>
                  <w:tr w:rsidR="00DD07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D07E9" w:rsidRDefault="00DD07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07E9" w:rsidRDefault="00DD07E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C40D7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</w:tblGrid>
                  <w:tr w:rsidR="00DD07E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40D7E"/>
                        <w:vAlign w:val="bottom"/>
                      </w:tcPr>
                      <w:p w:rsidR="00DD07E9" w:rsidRDefault="00DD07E9" w:rsidP="004A1FEE">
                        <w:pPr>
                          <w:jc w:val="center"/>
                          <w:rPr>
                            <w:rFonts w:ascii="Century Gothic" w:hAnsi="Century Gothic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Century Gothic" w:hAnsi="Century Gothic"/>
                            <w:color w:val="FFFFFF"/>
                            <w:sz w:val="32"/>
                            <w:szCs w:val="32"/>
                          </w:rPr>
                          <w:t xml:space="preserve"> Covering Florida's Children With Health </w:t>
                        </w:r>
                        <w:r w:rsidR="004A1FEE">
                          <w:rPr>
                            <w:rStyle w:val="Strong"/>
                            <w:rFonts w:ascii="Century Gothic" w:hAnsi="Century Gothic"/>
                            <w:color w:val="FFFFFF"/>
                            <w:sz w:val="32"/>
                            <w:szCs w:val="32"/>
                          </w:rPr>
                          <w:t>Insurance</w:t>
                        </w:r>
                      </w:p>
                    </w:tc>
                  </w:tr>
                </w:tbl>
                <w:p w:rsidR="00DD07E9" w:rsidRDefault="00DD07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07E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44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</w:tblGrid>
                  <w:tr w:rsidR="00DD07E9" w:rsidTr="006E2ED2">
                    <w:trPr>
                      <w:tblCellSpacing w:w="37" w:type="dxa"/>
                    </w:trPr>
                    <w:tc>
                      <w:tcPr>
                        <w:tcW w:w="4920" w:type="pct"/>
                        <w:vAlign w:val="center"/>
                        <w:hideMark/>
                      </w:tcPr>
                      <w:p w:rsidR="00DD07E9" w:rsidRDefault="00DD07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07E9" w:rsidTr="006E2ED2">
                    <w:trPr>
                      <w:trHeight w:val="8312"/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00" w:type="dxa"/>
                          <w:tblCellSpacing w:w="52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1"/>
                          <w:gridCol w:w="6293"/>
                        </w:tblGrid>
                        <w:tr w:rsidR="00DD07E9" w:rsidTr="006E2ED2">
                          <w:trPr>
                            <w:trHeight w:val="5958"/>
                            <w:tblCellSpacing w:w="52" w:type="dxa"/>
                          </w:trPr>
                          <w:tc>
                            <w:tcPr>
                              <w:tcW w:w="265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EAEAEA"/>
                              </w:tcBorders>
                              <w:shd w:val="clear" w:color="auto" w:fill="008887"/>
                              <w:hideMark/>
                            </w:tcPr>
                            <w:tbl>
                              <w:tblPr>
                                <w:tblW w:w="26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DD07E9" w:rsidTr="006E2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07E9" w:rsidTr="006E2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07E9" w:rsidTr="006E2ED2">
                                <w:trPr>
                                  <w:trHeight w:val="8088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159B9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D07E9" w:rsidTr="006E2ED2">
                                      <w:trPr>
                                        <w:trHeight w:val="137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59B9D"/>
                                          <w:vAlign w:val="center"/>
                                          <w:hideMark/>
                                        </w:tcPr>
                                        <w:p w:rsidR="00DD07E9" w:rsidRPr="00DD07E9" w:rsidRDefault="00DD07E9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4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DD07E9" w:rsidRPr="00DD07E9" w:rsidRDefault="00DD07E9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entury Gothic" w:hAnsi="Century Gothic" w:cs="Segoe UI"/>
                                              <w:color w:val="FFFFFF"/>
                                              <w:sz w:val="28"/>
                                              <w:szCs w:val="32"/>
                                            </w:rPr>
                                          </w:pPr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 w:cs="Segoe UI"/>
                                              <w:color w:val="FFFFFF"/>
                                              <w:sz w:val="28"/>
                                              <w:szCs w:val="32"/>
                                            </w:rPr>
                                            <w:t>APPLYING 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jc w:val="center"/>
                                            <w:rPr>
                                              <w:rStyle w:val="Strong"/>
                                              <w:rFonts w:ascii="Century Gothic" w:hAnsi="Century Gothic" w:cs="Segoe UI"/>
                                              <w:color w:val="FFFFFF"/>
                                              <w:sz w:val="28"/>
                                              <w:szCs w:val="32"/>
                                            </w:rPr>
                                          </w:pPr>
                                          <w:r w:rsidRPr="00DD07E9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8"/>
                                              <w:szCs w:val="32"/>
                                            </w:rPr>
                                            <w:t>IS </w:t>
                                          </w:r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 w:cs="Segoe UI"/>
                                              <w:color w:val="FFFFFF"/>
                                              <w:sz w:val="28"/>
                                              <w:szCs w:val="32"/>
                                            </w:rPr>
                                            <w:t>EASY! 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4"/>
                                              <w:szCs w:val="32"/>
                                            </w:rPr>
                                          </w:pPr>
                                        </w:p>
                                        <w:p w:rsidR="008C063F" w:rsidRPr="00DD07E9" w:rsidRDefault="008C063F" w:rsidP="00DD07E9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4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7E9" w:rsidRDefault="00DD07E9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D07E9" w:rsidTr="006E2ED2">
                                      <w:trPr>
                                        <w:trHeight w:val="345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</w:tcPr>
                                        <w:p w:rsidR="00DD07E9" w:rsidRDefault="00DD07E9" w:rsidP="00DD07E9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  <w:t>Families can apply at</w:t>
                                          </w:r>
                                        </w:p>
                                        <w:p w:rsidR="00DD07E9" w:rsidRDefault="009B6C49" w:rsidP="00DD07E9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</w:pPr>
                                          <w:hyperlink r:id="rId9" w:tgtFrame="_blank" w:history="1">
                                            <w:r w:rsidR="00DD07E9"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b/>
                                                <w:bCs/>
                                                <w:color w:val="C40D7E"/>
                                              </w:rPr>
                                              <w:t>floridakidcare.org</w:t>
                                            </w:r>
                                          </w:hyperlink>
                                          <w:r w:rsidR="00DD07E9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DD07E9" w:rsidRDefault="00DD07E9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noProof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029A76F3" wp14:editId="7AD20364">
                                                <wp:extent cx="1630045" cy="1017905"/>
                                                <wp:effectExtent l="0" t="0" r="8255" b="0"/>
                                                <wp:docPr id="5" name="Picture 5" descr="https://mlsvc01-prod.s3.amazonaws.com/cd7341c6201/f9cdba14-c0cf-4cdb-a791-f65ec33089f2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lsvc01-prod.s3.amazonaws.com/cd7341c6201/f9cdba14-c0cf-4cdb-a791-f65ec33089f2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30045" cy="1017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pStyle w:val="NoSpacing"/>
                                            <w:spacing w:line="200" w:lineRule="exact"/>
                                            <w:jc w:val="center"/>
                                            <w:rPr>
                                              <w:rFonts w:ascii="Century Gothic" w:hAnsi="Century Gothic"/>
                                              <w:sz w:val="20"/>
                                            </w:rPr>
                                          </w:pPr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  <w:t xml:space="preserve">Families can also locate their nearest application assister for help applying via the 'FL </w:t>
                                          </w:r>
                                          <w:proofErr w:type="spellStart"/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  <w:t>KidCare</w:t>
                                          </w:r>
                                          <w:proofErr w:type="spellEnd"/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  <w:t>'</w:t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pStyle w:val="NoSpacing"/>
                                            <w:spacing w:line="200" w:lineRule="exact"/>
                                            <w:jc w:val="center"/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</w:pPr>
                                          <w:proofErr w:type="gramStart"/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  <w:t>mobile</w:t>
                                          </w:r>
                                          <w:proofErr w:type="gramEnd"/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bCs w:val="0"/>
                                              <w:sz w:val="20"/>
                                            </w:rPr>
                                            <w:t xml:space="preserve"> app!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Century Gothic" w:hAnsi="Century Gothic" w:cs="Segoe U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7E9" w:rsidRDefault="00DD07E9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159B9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D07E9" w:rsidTr="006E2ED2">
                                      <w:trPr>
                                        <w:trHeight w:val="154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59B9D"/>
                                          <w:vAlign w:val="center"/>
                                          <w:hideMark/>
                                        </w:tcPr>
                                        <w:p w:rsidR="00DD07E9" w:rsidRDefault="00DD07E9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ENROLLMENT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IS OPEN 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YEAR-ROUND!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DD07E9" w:rsidRDefault="00DD07E9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2"/>
                                              <w:szCs w:val="28"/>
                                            </w:rPr>
                                          </w:pPr>
                                        </w:p>
                                        <w:p w:rsidR="008C063F" w:rsidRPr="00DD07E9" w:rsidRDefault="008C063F" w:rsidP="00DD07E9">
                                          <w:pPr>
                                            <w:pStyle w:val="NormalWeb"/>
                                            <w:spacing w:before="0" w:beforeAutospacing="0" w:after="0" w:afterAutospacing="0" w:line="260" w:lineRule="exact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2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7E9" w:rsidRDefault="00DD07E9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C40D7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D07E9" w:rsidTr="006E2ED2">
                                      <w:trPr>
                                        <w:trHeight w:val="162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40D7E"/>
                                          <w:vAlign w:val="center"/>
                                          <w:hideMark/>
                                        </w:tcPr>
                                        <w:p w:rsidR="00DD07E9" w:rsidRDefault="00DD07E9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DD07E9" w:rsidRPr="00A818E1" w:rsidRDefault="009B6C49" w:rsidP="00DD07E9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Century Gothic" w:hAnsi="Century Gothic" w:cs="Segoe UI"/>
                                              <w:b/>
                                              <w:color w:val="FFFFFF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hyperlink r:id="rId11" w:tgtFrame="_blank" w:history="1">
                                            <w:r w:rsidR="00DD07E9" w:rsidRPr="00A818E1">
                                              <w:rPr>
                                                <w:rStyle w:val="Hyperlink"/>
                                                <w:rFonts w:ascii="Century Gothic" w:hAnsi="Century Gothic" w:cs="Segoe UI"/>
                                                <w:b/>
                                                <w:color w:val="FFFFFF"/>
                                                <w:sz w:val="18"/>
                                                <w:szCs w:val="20"/>
                                              </w:rPr>
                                              <w:t>Click to find out more about the recent legislation passed that waives the five-year waiting period for lawfully residing immigrant children.</w:t>
                                            </w:r>
                                          </w:hyperlink>
                                        </w:p>
                                        <w:p w:rsidR="00DD07E9" w:rsidRDefault="00DD07E9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07E9" w:rsidRDefault="00DD07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13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EAEAEA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612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22"/>
                              </w:tblGrid>
                              <w:tr w:rsidR="00DD07E9" w:rsidTr="006E2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07E9" w:rsidTr="006E2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07E9" w:rsidTr="006E2ED2">
                                <w:trPr>
                                  <w:trHeight w:val="7403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22"/>
                                    </w:tblGrid>
                                    <w:tr w:rsidR="00DD07E9" w:rsidTr="006E2ED2">
                                      <w:trPr>
                                        <w:trHeight w:val="3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D07E9" w:rsidRDefault="00A818E1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W</w:t>
                                          </w:r>
                                          <w:r w:rsidR="00DD07E9"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ith children heading back to school, the role that children's health insurance plays in each family's household and in our community as a whole is made even more evident. </w:t>
                                          </w:r>
                                          <w:r w:rsidR="004A1FEE"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It is proven that k</w:t>
                                          </w:r>
                                          <w:r w:rsidR="00DD07E9"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ids with health insurance </w:t>
                                          </w:r>
                                          <w:r w:rsidR="004A1FEE"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are better prepared to</w:t>
                                          </w:r>
                                          <w:r w:rsidR="00DD07E9" w:rsidRPr="00CE55EC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reach their potential inside and outside of the classroom.</w:t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10"/>
                                              <w:szCs w:val="22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For the 377,000 uninsured children in our state,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C40D7E"/>
                                                <w:sz w:val="22"/>
                                                <w:szCs w:val="22"/>
                                              </w:rPr>
                                              <w:t xml:space="preserve">Florida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C40D7E"/>
                                                <w:sz w:val="22"/>
                                                <w:szCs w:val="22"/>
                                              </w:rPr>
                                              <w:t>KidCare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is the answer. Florida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KidCare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is low-cost, comprehensive, child-centered health and dental insurance that covers children from birth through the end of age 18. Benefits include check-ups, shots, emergencies, prescriptions and more.</w:t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10"/>
                                              <w:szCs w:val="22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Florida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KidCare's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affordable premiums are based on household size and income. Many families pay just $15 or $20 per month--but most pay nothing at all. Many of our state's uninsured children qualify for subsidized coverage. Families that don't qualify for subsidized coverage can pursue full-pay options.</w:t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10"/>
                                              <w:szCs w:val="22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Although Florida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KidCare's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enrollment is year-round, the back to school season is a pertinent time to ensure children have access to the services they need at each stage of growth and development. With your help encouraging families to visit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hAnsi="Century Gothic"/>
                                                <w:b/>
                                                <w:bCs/>
                                                <w:color w:val="C40D7E"/>
                                                <w:sz w:val="22"/>
                                                <w:szCs w:val="22"/>
                                              </w:rPr>
                                              <w:t>floridakidcare.org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or calling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9999"/>
                                              <w:sz w:val="22"/>
                                              <w:szCs w:val="22"/>
                                            </w:rPr>
                                            <w:t xml:space="preserve">1-888-540-KIDS </w:t>
                                          </w:r>
                                          <w:r w:rsidRPr="00DD07E9"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9999"/>
                                              <w:sz w:val="22"/>
                                              <w:szCs w:val="22"/>
                                            </w:rPr>
                                            <w:t>(5437)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to apply, we can help children experience healthy childhoods, educations and futures. </w:t>
                                          </w:r>
                                        </w:p>
                                        <w:p w:rsidR="00DD07E9" w:rsidRP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10"/>
                                              <w:szCs w:val="22"/>
                                            </w:rPr>
                                          </w:pPr>
                                        </w:p>
                                        <w:p w:rsidR="00DD07E9" w:rsidRDefault="00DD07E9" w:rsidP="00DD07E9">
                                          <w:pPr>
                                            <w:spacing w:line="230" w:lineRule="exact"/>
                                            <w:rPr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Thank you in advance for helping champion Florida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KidCare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Century Gothic" w:hAnsi="Century Gothic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in your community during the back-to-school season and year-round!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D07E9" w:rsidTr="006E2E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DD07E9" w:rsidRDefault="00DD07E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07E9" w:rsidRDefault="00DD07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07E9" w:rsidRDefault="00DD07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07E9" w:rsidTr="006E2ED2">
                    <w:trPr>
                      <w:trHeight w:val="149"/>
                      <w:tblCellSpacing w:w="37" w:type="dxa"/>
                    </w:trPr>
                    <w:tc>
                      <w:tcPr>
                        <w:tcW w:w="4920" w:type="pct"/>
                        <w:vAlign w:val="center"/>
                      </w:tcPr>
                      <w:tbl>
                        <w:tblPr>
                          <w:tblW w:w="5001" w:type="pct"/>
                          <w:tblCellSpacing w:w="0" w:type="dxa"/>
                          <w:tblBorders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tblBorders>
                          <w:shd w:val="clear" w:color="auto" w:fill="C40D7E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4"/>
                        </w:tblGrid>
                        <w:tr w:rsidR="00DD07E9" w:rsidTr="006E2ED2">
                          <w:trPr>
                            <w:trHeight w:val="149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40D7E"/>
                              <w:vAlign w:val="center"/>
                              <w:hideMark/>
                            </w:tcPr>
                            <w:p w:rsidR="00DD07E9" w:rsidRDefault="00DD07E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4CB36208" wp14:editId="18C4B822">
                                    <wp:extent cx="5676900" cy="1211295"/>
                                    <wp:effectExtent l="0" t="0" r="0" b="8255"/>
                                    <wp:docPr id="4" name="Picture 4" descr="https://mlsvc01-prod.s3.amazonaws.com/cd7341c6201/e718c636-b9ce-4d1b-99a6-4e38c94c2ef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lsvc01-prod.s3.amazonaws.com/cd7341c6201/e718c636-b9ce-4d1b-99a6-4e38c94c2ef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85634" cy="12131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07E9" w:rsidRDefault="00DD07E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910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8"/>
                        </w:tblGrid>
                        <w:tr w:rsidR="00DD07E9" w:rsidTr="006E2E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7E9" w:rsidRDefault="00DD07E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07E9" w:rsidRDefault="00DD07E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910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8"/>
                        </w:tblGrid>
                        <w:tr w:rsidR="00DD07E9" w:rsidTr="006E2E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7E9" w:rsidRDefault="00DD0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Segoe UI" w:hAnsi="Segoe UI" w:cs="Segoe UI"/>
                                  <w:color w:val="0664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DD07E9" w:rsidRDefault="00DD07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07E9" w:rsidRDefault="00DD07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07E9" w:rsidRDefault="00DD07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7E9" w:rsidRDefault="00DD07E9" w:rsidP="006E2ED2">
      <w:pPr>
        <w:shd w:val="clear" w:color="auto" w:fill="FFFFFF"/>
        <w:rPr>
          <w:vanish/>
        </w:rPr>
      </w:pPr>
    </w:p>
    <w:p w:rsidR="002F1AE1" w:rsidRDefault="002F1AE1"/>
    <w:sectPr w:rsidR="002F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49" w:rsidRDefault="009B6C49" w:rsidP="00DD07E9">
      <w:r>
        <w:separator/>
      </w:r>
    </w:p>
  </w:endnote>
  <w:endnote w:type="continuationSeparator" w:id="0">
    <w:p w:rsidR="009B6C49" w:rsidRDefault="009B6C49" w:rsidP="00D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49" w:rsidRDefault="009B6C49" w:rsidP="00DD07E9">
      <w:r>
        <w:separator/>
      </w:r>
    </w:p>
  </w:footnote>
  <w:footnote w:type="continuationSeparator" w:id="0">
    <w:p w:rsidR="009B6C49" w:rsidRDefault="009B6C49" w:rsidP="00DD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9"/>
    <w:rsid w:val="002F1AE1"/>
    <w:rsid w:val="004A1FEE"/>
    <w:rsid w:val="004A2A43"/>
    <w:rsid w:val="00596D43"/>
    <w:rsid w:val="006E2ED2"/>
    <w:rsid w:val="008C063F"/>
    <w:rsid w:val="008D2B63"/>
    <w:rsid w:val="009B6C49"/>
    <w:rsid w:val="00A754DE"/>
    <w:rsid w:val="00A818E1"/>
    <w:rsid w:val="00B4515E"/>
    <w:rsid w:val="00CE55EC"/>
    <w:rsid w:val="00D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7E9"/>
    <w:pPr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  <w:rsid w:val="00DD07E9"/>
  </w:style>
  <w:style w:type="character" w:customStyle="1" w:styleId="hideinmobile">
    <w:name w:val="hideinmobile"/>
    <w:basedOn w:val="DefaultParagraphFont"/>
    <w:rsid w:val="00DD07E9"/>
  </w:style>
  <w:style w:type="character" w:styleId="Strong">
    <w:name w:val="Strong"/>
    <w:basedOn w:val="DefaultParagraphFont"/>
    <w:uiPriority w:val="22"/>
    <w:qFormat/>
    <w:rsid w:val="00DD07E9"/>
    <w:rPr>
      <w:b/>
      <w:bCs/>
    </w:rPr>
  </w:style>
  <w:style w:type="character" w:styleId="Emphasis">
    <w:name w:val="Emphasis"/>
    <w:basedOn w:val="DefaultParagraphFont"/>
    <w:uiPriority w:val="20"/>
    <w:qFormat/>
    <w:rsid w:val="00DD0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E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7E9"/>
    <w:pPr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  <w:rsid w:val="00DD07E9"/>
  </w:style>
  <w:style w:type="character" w:customStyle="1" w:styleId="hideinmobile">
    <w:name w:val="hideinmobile"/>
    <w:basedOn w:val="DefaultParagraphFont"/>
    <w:rsid w:val="00DD07E9"/>
  </w:style>
  <w:style w:type="character" w:styleId="Strong">
    <w:name w:val="Strong"/>
    <w:basedOn w:val="DefaultParagraphFont"/>
    <w:uiPriority w:val="22"/>
    <w:qFormat/>
    <w:rsid w:val="00DD07E9"/>
    <w:rPr>
      <w:b/>
      <w:bCs/>
    </w:rPr>
  </w:style>
  <w:style w:type="character" w:styleId="Emphasis">
    <w:name w:val="Emphasis"/>
    <w:basedOn w:val="DefaultParagraphFont"/>
    <w:uiPriority w:val="20"/>
    <w:qFormat/>
    <w:rsid w:val="00DD0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E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20.rs6.net/tn.jsp?t=qg7fxeyab.0.0.75nibwjab.0&amp;id=preview&amp;r=3&amp;p=http%3A%2F%2Ffloridakidcare.org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20.rs6.net/tn.jsp?t=qg7fxeyab.0.0.75nibwjab.0&amp;id=preview&amp;r=3&amp;p=http%3A%2F%2Ffloridakidcare.org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0.rs6.net/tn.jsp?t=qg7fxeyab.0.0.75nibwjab.0&amp;id=preview&amp;r=3&amp;p=https%3A%2F%2Fwww.healthykids.org%2Fkidcare%2Fcitizenship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20.rs6.net/tn.jsp?t=qg7fxeyab.0.0.75nibwjab.0&amp;id=preview&amp;r=3&amp;p=http%3A%2F%2Ffloridakidcare.org%2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596C-B837-4692-BAE8-653132C8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FHKC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Goss</dc:creator>
  <cp:lastModifiedBy>Christie Goss</cp:lastModifiedBy>
  <cp:revision>2</cp:revision>
  <cp:lastPrinted>2016-08-01T17:52:00Z</cp:lastPrinted>
  <dcterms:created xsi:type="dcterms:W3CDTF">2016-08-04T13:42:00Z</dcterms:created>
  <dcterms:modified xsi:type="dcterms:W3CDTF">2016-08-04T13:42:00Z</dcterms:modified>
</cp:coreProperties>
</file>